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14EF6">
      <w:pPr>
        <w:pStyle w:val="12"/>
        <w:keepNext w:val="0"/>
        <w:keepLines w:val="0"/>
        <w:pageBreakBefore w:val="0"/>
        <w:kinsoku/>
        <w:wordWrap/>
        <w:overflowPunct/>
        <w:topLinePunct w:val="0"/>
        <w:autoSpaceDE/>
        <w:autoSpaceDN/>
        <w:bidi w:val="0"/>
        <w:adjustRightInd/>
        <w:snapToGrid/>
        <w:spacing w:line="579" w:lineRule="exact"/>
        <w:jc w:val="center"/>
        <w:textAlignment w:val="auto"/>
        <w:outlineLvl w:val="1"/>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lang w:val="en-US" w:eastAsia="zh-CN"/>
        </w:rPr>
        <w:t>采购</w:t>
      </w:r>
      <w:r>
        <w:rPr>
          <w:rFonts w:hint="default" w:ascii="Times New Roman" w:hAnsi="Times New Roman" w:eastAsia="方正小标宋简体" w:cs="Times New Roman"/>
          <w:b/>
          <w:color w:val="auto"/>
          <w:sz w:val="44"/>
          <w:szCs w:val="44"/>
          <w:highlight w:val="none"/>
        </w:rPr>
        <w:t>需求</w:t>
      </w:r>
    </w:p>
    <w:p w14:paraId="226EBCF5">
      <w:pPr>
        <w:pStyle w:val="12"/>
        <w:keepNext w:val="0"/>
        <w:keepLines w:val="0"/>
        <w:pageBreakBefore w:val="0"/>
        <w:numPr>
          <w:ilvl w:val="0"/>
          <w:numId w:val="0"/>
        </w:numPr>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
          <w:color w:val="auto"/>
          <w:sz w:val="32"/>
          <w:szCs w:val="32"/>
          <w:highlight w:val="none"/>
        </w:rPr>
      </w:pPr>
    </w:p>
    <w:p w14:paraId="2755ADA5">
      <w:pPr>
        <w:pStyle w:val="12"/>
        <w:keepNext w:val="0"/>
        <w:keepLines w:val="0"/>
        <w:pageBreakBefore w:val="0"/>
        <w:numPr>
          <w:ilvl w:val="0"/>
          <w:numId w:val="0"/>
        </w:numPr>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b/>
          <w:color w:val="auto"/>
          <w:sz w:val="44"/>
          <w:szCs w:val="44"/>
          <w:highlight w:val="none"/>
          <w:lang w:eastAsia="zh-CN"/>
        </w:rPr>
      </w:pPr>
      <w:r>
        <w:rPr>
          <w:rFonts w:hint="default" w:ascii="Times New Roman" w:hAnsi="Times New Roman" w:eastAsia="黑体" w:cs="Times New Roman"/>
          <w:b/>
          <w:color w:val="auto"/>
          <w:sz w:val="32"/>
          <w:szCs w:val="32"/>
          <w:highlight w:val="none"/>
        </w:rPr>
        <w:t xml:space="preserve">I </w:t>
      </w:r>
      <w:r>
        <w:rPr>
          <w:rFonts w:hint="default" w:ascii="Times New Roman" w:hAnsi="Times New Roman" w:eastAsia="黑体" w:cs="Times New Roman"/>
          <w:b/>
          <w:color w:val="auto"/>
          <w:sz w:val="32"/>
          <w:szCs w:val="32"/>
          <w:highlight w:val="none"/>
          <w:lang w:val="en-US" w:eastAsia="zh-CN"/>
        </w:rPr>
        <w:t xml:space="preserve"> </w:t>
      </w:r>
      <w:r>
        <w:rPr>
          <w:rFonts w:hint="default" w:ascii="Times New Roman" w:hAnsi="Times New Roman" w:eastAsia="黑体" w:cs="Times New Roman"/>
          <w:b/>
          <w:color w:val="auto"/>
          <w:sz w:val="32"/>
          <w:szCs w:val="32"/>
          <w:highlight w:val="none"/>
        </w:rPr>
        <w:t>主要商务要求</w:t>
      </w:r>
    </w:p>
    <w:tbl>
      <w:tblPr>
        <w:tblStyle w:val="9"/>
        <w:tblpPr w:leftFromText="180" w:rightFromText="180" w:vertAnchor="text" w:horzAnchor="page" w:tblpXSpec="center" w:tblpY="557"/>
        <w:tblOverlap w:val="never"/>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22"/>
        <w:gridCol w:w="6734"/>
      </w:tblGrid>
      <w:tr w14:paraId="676E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B03AA0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lang w:eastAsia="zh-CN"/>
              </w:rPr>
              <w:t>编</w:t>
            </w:r>
            <w:r>
              <w:rPr>
                <w:rFonts w:hint="eastAsia" w:asciiTheme="majorEastAsia" w:hAnsiTheme="majorEastAsia" w:eastAsiaTheme="majorEastAsia" w:cstheme="majorEastAsia"/>
                <w:b/>
                <w:color w:val="auto"/>
                <w:sz w:val="28"/>
                <w:szCs w:val="28"/>
                <w:highlight w:val="none"/>
              </w:rPr>
              <w:t>号</w:t>
            </w:r>
          </w:p>
        </w:tc>
        <w:tc>
          <w:tcPr>
            <w:tcW w:w="834" w:type="pct"/>
            <w:vAlign w:val="center"/>
          </w:tcPr>
          <w:p w14:paraId="47CC5957">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条款名称</w:t>
            </w:r>
          </w:p>
        </w:tc>
        <w:tc>
          <w:tcPr>
            <w:tcW w:w="3694" w:type="pct"/>
            <w:vAlign w:val="center"/>
          </w:tcPr>
          <w:p w14:paraId="1165CA9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说  明</w:t>
            </w:r>
          </w:p>
        </w:tc>
      </w:tr>
      <w:tr w14:paraId="20DB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FB5A253">
            <w:pPr>
              <w:keepNext w:val="0"/>
              <w:keepLines w:val="0"/>
              <w:pageBreakBefore w:val="0"/>
              <w:numPr>
                <w:ilvl w:val="0"/>
                <w:numId w:val="0"/>
              </w:numPr>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1</w:t>
            </w:r>
          </w:p>
        </w:tc>
        <w:tc>
          <w:tcPr>
            <w:tcW w:w="834" w:type="pct"/>
            <w:vAlign w:val="center"/>
          </w:tcPr>
          <w:p w14:paraId="5A3D228E">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服务地点</w:t>
            </w:r>
          </w:p>
        </w:tc>
        <w:tc>
          <w:tcPr>
            <w:tcW w:w="3694" w:type="pct"/>
            <w:vAlign w:val="center"/>
          </w:tcPr>
          <w:p w14:paraId="004DF004">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eastAsia="zh-CN"/>
              </w:rPr>
              <w:t>旧院地址：</w:t>
            </w:r>
            <w:r>
              <w:rPr>
                <w:rFonts w:hint="eastAsia" w:asciiTheme="majorEastAsia" w:hAnsiTheme="majorEastAsia" w:eastAsiaTheme="majorEastAsia" w:cstheme="majorEastAsia"/>
                <w:color w:val="auto"/>
                <w:sz w:val="28"/>
                <w:szCs w:val="28"/>
                <w:highlight w:val="none"/>
              </w:rPr>
              <w:t>东莞市大朗镇</w:t>
            </w:r>
            <w:r>
              <w:rPr>
                <w:rFonts w:hint="eastAsia" w:asciiTheme="majorEastAsia" w:hAnsiTheme="majorEastAsia" w:eastAsiaTheme="majorEastAsia" w:cstheme="majorEastAsia"/>
                <w:color w:val="auto"/>
                <w:sz w:val="28"/>
                <w:szCs w:val="28"/>
                <w:highlight w:val="none"/>
                <w:lang w:eastAsia="zh-CN"/>
              </w:rPr>
              <w:t>美景西路</w:t>
            </w:r>
            <w:r>
              <w:rPr>
                <w:rFonts w:hint="eastAsia" w:asciiTheme="majorEastAsia" w:hAnsiTheme="majorEastAsia" w:eastAsiaTheme="majorEastAsia" w:cstheme="majorEastAsia"/>
                <w:color w:val="auto"/>
                <w:sz w:val="28"/>
                <w:szCs w:val="28"/>
                <w:highlight w:val="none"/>
                <w:lang w:val="en-US" w:eastAsia="zh-CN"/>
              </w:rPr>
              <w:t>418号；</w:t>
            </w:r>
          </w:p>
          <w:p w14:paraId="57C4F365">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新院地址：东莞市畅园路沉香街2号。</w:t>
            </w:r>
          </w:p>
        </w:tc>
      </w:tr>
      <w:tr w14:paraId="2988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8F1AC8E">
            <w:pPr>
              <w:keepNext w:val="0"/>
              <w:keepLines w:val="0"/>
              <w:pageBreakBefore w:val="0"/>
              <w:numPr>
                <w:ilvl w:val="0"/>
                <w:numId w:val="0"/>
              </w:numPr>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2</w:t>
            </w:r>
          </w:p>
        </w:tc>
        <w:tc>
          <w:tcPr>
            <w:tcW w:w="834" w:type="pct"/>
            <w:vAlign w:val="center"/>
          </w:tcPr>
          <w:p w14:paraId="3250E1BE">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服务期</w:t>
            </w:r>
          </w:p>
        </w:tc>
        <w:tc>
          <w:tcPr>
            <w:tcW w:w="3694" w:type="pct"/>
            <w:vAlign w:val="center"/>
          </w:tcPr>
          <w:p w14:paraId="222226B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heme="majorEastAsia" w:hAnsiTheme="majorEastAsia" w:eastAsiaTheme="majorEastAsia" w:cstheme="majorEastAsia"/>
                <w:color w:val="auto"/>
                <w:sz w:val="28"/>
                <w:szCs w:val="28"/>
                <w:highlight w:val="none"/>
                <w:lang w:eastAsia="zh-CN"/>
              </w:rPr>
            </w:pPr>
            <w:r>
              <w:rPr>
                <w:rFonts w:hint="default" w:asciiTheme="majorEastAsia" w:hAnsiTheme="majorEastAsia" w:eastAsiaTheme="majorEastAsia" w:cstheme="majorEastAsia"/>
                <w:color w:val="auto"/>
                <w:sz w:val="28"/>
                <w:szCs w:val="28"/>
                <w:highlight w:val="none"/>
                <w:lang w:val="en-US" w:eastAsia="zh-CN"/>
              </w:rPr>
              <w:t>按采购人要求的时间节点完成全部搬迁及安装工作</w:t>
            </w:r>
            <w:r>
              <w:rPr>
                <w:rFonts w:hint="eastAsia" w:asciiTheme="majorEastAsia" w:hAnsiTheme="majorEastAsia" w:eastAsiaTheme="majorEastAsia" w:cstheme="majorEastAsia"/>
                <w:color w:val="auto"/>
                <w:sz w:val="28"/>
                <w:szCs w:val="28"/>
                <w:highlight w:val="none"/>
                <w:lang w:val="en-US" w:eastAsia="zh-CN"/>
              </w:rPr>
              <w:t>。</w:t>
            </w:r>
          </w:p>
        </w:tc>
      </w:tr>
      <w:tr w14:paraId="7BE1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5A54E00">
            <w:pPr>
              <w:keepNext w:val="0"/>
              <w:keepLines w:val="0"/>
              <w:pageBreakBefore w:val="0"/>
              <w:numPr>
                <w:ilvl w:val="0"/>
                <w:numId w:val="0"/>
              </w:numPr>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3</w:t>
            </w:r>
          </w:p>
        </w:tc>
        <w:tc>
          <w:tcPr>
            <w:tcW w:w="834" w:type="pct"/>
            <w:vAlign w:val="center"/>
          </w:tcPr>
          <w:p w14:paraId="05EBC1D6">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付款方式</w:t>
            </w:r>
          </w:p>
        </w:tc>
        <w:tc>
          <w:tcPr>
            <w:tcW w:w="3694" w:type="pct"/>
            <w:vAlign w:val="center"/>
          </w:tcPr>
          <w:p w14:paraId="6668B18E">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Theme="majorEastAsia" w:hAnsiTheme="majorEastAsia" w:eastAsiaTheme="majorEastAsia" w:cstheme="majorEastAsia"/>
                <w:color w:val="auto"/>
                <w:sz w:val="28"/>
                <w:szCs w:val="28"/>
                <w:highlight w:val="none"/>
                <w:lang w:val="en-US" w:eastAsia="zh-CN"/>
              </w:rPr>
            </w:pPr>
            <w:r>
              <w:rPr>
                <w:rFonts w:hint="default" w:asciiTheme="majorEastAsia" w:hAnsiTheme="majorEastAsia" w:eastAsiaTheme="majorEastAsia" w:cstheme="majorEastAsia"/>
                <w:color w:val="auto"/>
                <w:sz w:val="28"/>
                <w:szCs w:val="28"/>
                <w:highlight w:val="none"/>
                <w:lang w:val="en-US" w:eastAsia="zh-CN"/>
              </w:rPr>
              <w:t>1.采取分期付款方式支付相关款项。</w:t>
            </w:r>
          </w:p>
          <w:p w14:paraId="08DD9C5B">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Theme="majorEastAsia" w:hAnsiTheme="majorEastAsia" w:eastAsiaTheme="majorEastAsia" w:cstheme="majorEastAsia"/>
                <w:color w:val="auto"/>
                <w:sz w:val="28"/>
                <w:szCs w:val="28"/>
                <w:highlight w:val="none"/>
                <w:lang w:val="en-US" w:eastAsia="zh-CN"/>
              </w:rPr>
            </w:pPr>
            <w:r>
              <w:rPr>
                <w:rFonts w:hint="default" w:asciiTheme="majorEastAsia" w:hAnsiTheme="majorEastAsia" w:eastAsiaTheme="majorEastAsia" w:cstheme="majorEastAsia"/>
                <w:color w:val="auto"/>
                <w:sz w:val="28"/>
                <w:szCs w:val="28"/>
                <w:highlight w:val="none"/>
                <w:lang w:val="en-US" w:eastAsia="zh-CN"/>
              </w:rPr>
              <w:t>（1）预付款：合同签订后10个工作日内，采购</w:t>
            </w:r>
            <w:r>
              <w:rPr>
                <w:rFonts w:hint="eastAsia" w:asciiTheme="majorEastAsia" w:hAnsiTheme="majorEastAsia" w:eastAsiaTheme="majorEastAsia" w:cstheme="majorEastAsia"/>
                <w:color w:val="auto"/>
                <w:sz w:val="28"/>
                <w:szCs w:val="28"/>
                <w:highlight w:val="none"/>
                <w:lang w:val="en-US" w:eastAsia="zh-CN"/>
              </w:rPr>
              <w:t>人</w:t>
            </w:r>
            <w:r>
              <w:rPr>
                <w:rFonts w:hint="default" w:asciiTheme="majorEastAsia" w:hAnsiTheme="majorEastAsia" w:eastAsiaTheme="majorEastAsia" w:cstheme="majorEastAsia"/>
                <w:color w:val="auto"/>
                <w:sz w:val="28"/>
                <w:szCs w:val="28"/>
                <w:highlight w:val="none"/>
                <w:lang w:val="en-US" w:eastAsia="zh-CN"/>
              </w:rPr>
              <w:t>向成交人支付合同总金额的</w:t>
            </w:r>
            <w:r>
              <w:rPr>
                <w:rFonts w:hint="eastAsia" w:asciiTheme="majorEastAsia" w:hAnsiTheme="majorEastAsia" w:eastAsiaTheme="majorEastAsia" w:cstheme="majorEastAsia"/>
                <w:color w:val="auto"/>
                <w:sz w:val="28"/>
                <w:szCs w:val="28"/>
                <w:highlight w:val="none"/>
                <w:lang w:val="en-US" w:eastAsia="zh-CN"/>
              </w:rPr>
              <w:t>3</w:t>
            </w:r>
            <w:r>
              <w:rPr>
                <w:rFonts w:hint="default" w:asciiTheme="majorEastAsia" w:hAnsiTheme="majorEastAsia" w:eastAsiaTheme="majorEastAsia" w:cstheme="majorEastAsia"/>
                <w:color w:val="auto"/>
                <w:sz w:val="28"/>
                <w:szCs w:val="28"/>
                <w:highlight w:val="none"/>
                <w:lang w:val="en-US" w:eastAsia="zh-CN"/>
              </w:rPr>
              <w:t>0%作为预付款。</w:t>
            </w:r>
          </w:p>
          <w:p w14:paraId="59D56E3E">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Theme="majorEastAsia" w:hAnsiTheme="majorEastAsia" w:eastAsiaTheme="majorEastAsia" w:cstheme="majorEastAsia"/>
                <w:color w:val="auto"/>
                <w:sz w:val="28"/>
                <w:szCs w:val="28"/>
                <w:highlight w:val="none"/>
                <w:lang w:val="en-US" w:eastAsia="zh-CN"/>
              </w:rPr>
            </w:pPr>
            <w:r>
              <w:rPr>
                <w:rFonts w:hint="default" w:asciiTheme="majorEastAsia" w:hAnsiTheme="majorEastAsia" w:eastAsiaTheme="majorEastAsia" w:cstheme="majorEastAsia"/>
                <w:color w:val="auto"/>
                <w:sz w:val="28"/>
                <w:szCs w:val="28"/>
                <w:highlight w:val="none"/>
                <w:lang w:val="en-US" w:eastAsia="zh-CN"/>
              </w:rPr>
              <w:t>（2）验收款：成交人完成搬迁服务，且所有设备经采购人验收合格并试运行正常后，在</w:t>
            </w:r>
            <w:r>
              <w:rPr>
                <w:rFonts w:hint="eastAsia" w:asciiTheme="majorEastAsia" w:hAnsiTheme="majorEastAsia" w:eastAsiaTheme="majorEastAsia" w:cstheme="majorEastAsia"/>
                <w:color w:val="auto"/>
                <w:sz w:val="28"/>
                <w:szCs w:val="28"/>
                <w:highlight w:val="none"/>
                <w:lang w:val="en-US" w:eastAsia="zh-CN"/>
              </w:rPr>
              <w:t>5</w:t>
            </w:r>
            <w:r>
              <w:rPr>
                <w:rFonts w:hint="default" w:asciiTheme="majorEastAsia" w:hAnsiTheme="majorEastAsia" w:eastAsiaTheme="majorEastAsia" w:cstheme="majorEastAsia"/>
                <w:color w:val="auto"/>
                <w:sz w:val="28"/>
                <w:szCs w:val="28"/>
                <w:highlight w:val="none"/>
                <w:lang w:val="en-US" w:eastAsia="zh-CN"/>
              </w:rPr>
              <w:t xml:space="preserve">个工作日内，采购人将与成交人进行确认，并依据实际搬迁服务项目进行结算。采购人在收到成交人开具的发票并确认无误后的10个工作日内，支付剩余款项。 </w:t>
            </w:r>
          </w:p>
          <w:p w14:paraId="373AF047">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Theme="majorEastAsia" w:hAnsiTheme="majorEastAsia" w:eastAsiaTheme="majorEastAsia" w:cstheme="majorEastAsia"/>
                <w:color w:val="auto"/>
                <w:sz w:val="28"/>
                <w:szCs w:val="28"/>
                <w:highlight w:val="none"/>
                <w:lang w:val="en-US" w:eastAsia="zh-CN"/>
              </w:rPr>
            </w:pPr>
            <w:r>
              <w:rPr>
                <w:rFonts w:hint="default" w:asciiTheme="majorEastAsia" w:hAnsiTheme="majorEastAsia" w:eastAsiaTheme="majorEastAsia" w:cstheme="majorEastAsia"/>
                <w:color w:val="auto"/>
                <w:sz w:val="28"/>
                <w:szCs w:val="28"/>
                <w:highlight w:val="none"/>
                <w:lang w:val="en-US" w:eastAsia="zh-CN"/>
              </w:rPr>
              <w:t>（3）付款凭证：需提供正规发票、付款申请、验收报告、资格条件承诺函等材料。</w:t>
            </w:r>
          </w:p>
          <w:p w14:paraId="2B6FCC62">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2.由于采购人使用的是财政资金，相关款项的支付需向政府财政支付部门提交财政支付申请手续，并经审核同意后方可完成转账。在政府财政支付部门进行议付审核及转账期间，视为付款宽限期。在此宽限期内，成交人不得追索任何资金利息、费用、违约金或损失，亦不得拒绝履行合同义务。</w:t>
            </w:r>
          </w:p>
        </w:tc>
      </w:tr>
      <w:tr w14:paraId="6F25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CC2AE42">
            <w:pPr>
              <w:keepNext w:val="0"/>
              <w:keepLines w:val="0"/>
              <w:pageBreakBefore w:val="0"/>
              <w:numPr>
                <w:ilvl w:val="0"/>
                <w:numId w:val="0"/>
              </w:numPr>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4</w:t>
            </w:r>
          </w:p>
        </w:tc>
        <w:tc>
          <w:tcPr>
            <w:tcW w:w="834" w:type="pct"/>
            <w:vAlign w:val="center"/>
          </w:tcPr>
          <w:p w14:paraId="6E341158">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color w:val="auto"/>
                <w:sz w:val="28"/>
                <w:szCs w:val="28"/>
                <w:highlight w:val="none"/>
              </w:rPr>
              <w:t>报价要求</w:t>
            </w:r>
          </w:p>
        </w:tc>
        <w:tc>
          <w:tcPr>
            <w:tcW w:w="3694" w:type="pct"/>
            <w:vAlign w:val="center"/>
          </w:tcPr>
          <w:p w14:paraId="1AC98CF8">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Theme="majorEastAsia" w:hAnsiTheme="majorEastAsia" w:eastAsiaTheme="majorEastAsia" w:cstheme="majorEastAsia"/>
                <w:color w:val="auto"/>
                <w:sz w:val="28"/>
                <w:szCs w:val="28"/>
                <w:highlight w:val="none"/>
                <w:lang w:val="en-US" w:eastAsia="zh-CN"/>
              </w:rPr>
            </w:pPr>
            <w:r>
              <w:rPr>
                <w:rFonts w:hint="default" w:asciiTheme="majorEastAsia" w:hAnsiTheme="majorEastAsia" w:eastAsiaTheme="majorEastAsia" w:cstheme="majorEastAsia"/>
                <w:color w:val="auto"/>
                <w:sz w:val="28"/>
                <w:szCs w:val="28"/>
                <w:highlight w:val="none"/>
                <w:lang w:val="en-US" w:eastAsia="zh-CN"/>
              </w:rPr>
              <w:t>报价涵盖搬迁全流程的各项费用，包括但不限于包装材料费、打包搬运费、车辆运输费、卸车入户费、人员服务费、全流程保险费、税费、售后服务费、赔偿费等合规性费用，以及合同实施过程中可能出现的可预见与不可预见风险费用。</w:t>
            </w:r>
          </w:p>
        </w:tc>
      </w:tr>
    </w:tbl>
    <w:p w14:paraId="7EE0C0A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79" w:lineRule="exact"/>
        <w:jc w:val="center"/>
        <w:textAlignment w:val="auto"/>
        <w:rPr>
          <w:rFonts w:hint="default" w:ascii="Times New Roman" w:hAnsi="Times New Roman" w:eastAsia="黑体" w:cs="Times New Roman"/>
          <w:b/>
          <w:bCs/>
          <w:color w:val="auto"/>
          <w:sz w:val="32"/>
          <w:szCs w:val="32"/>
          <w:highlight w:val="none"/>
          <w:lang w:eastAsia="zh-CN"/>
        </w:rPr>
      </w:pPr>
    </w:p>
    <w:p w14:paraId="1137E10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79" w:lineRule="exact"/>
        <w:jc w:val="center"/>
        <w:textAlignment w:val="auto"/>
        <w:rPr>
          <w:rFonts w:hint="default" w:ascii="Times New Roman" w:hAnsi="Times New Roman" w:eastAsia="黑体" w:cs="Times New Roman"/>
          <w:b/>
          <w:bCs/>
          <w:color w:val="auto"/>
          <w:sz w:val="32"/>
          <w:szCs w:val="32"/>
          <w:highlight w:val="none"/>
          <w:lang w:eastAsia="zh-CN"/>
        </w:rPr>
      </w:pPr>
      <w:r>
        <w:rPr>
          <w:rFonts w:hint="default" w:ascii="Times New Roman" w:hAnsi="Times New Roman" w:eastAsia="黑体" w:cs="Times New Roman"/>
          <w:b/>
          <w:bCs/>
          <w:color w:val="auto"/>
          <w:sz w:val="32"/>
          <w:szCs w:val="32"/>
          <w:highlight w:val="none"/>
          <w:lang w:eastAsia="zh-CN"/>
        </w:rPr>
        <w:t>Ⅱ</w:t>
      </w:r>
      <w:r>
        <w:rPr>
          <w:rFonts w:hint="default" w:ascii="Times New Roman" w:hAnsi="Times New Roman" w:eastAsia="黑体" w:cs="Times New Roman"/>
          <w:b/>
          <w:bCs/>
          <w:color w:val="auto"/>
          <w:sz w:val="32"/>
          <w:szCs w:val="32"/>
          <w:highlight w:val="none"/>
          <w:lang w:val="en-US" w:eastAsia="zh-CN"/>
        </w:rPr>
        <w:t xml:space="preserve"> </w:t>
      </w:r>
      <w:r>
        <w:rPr>
          <w:rFonts w:hint="default" w:ascii="Times New Roman" w:hAnsi="Times New Roman" w:eastAsia="黑体" w:cs="Times New Roman"/>
          <w:b/>
          <w:bCs/>
          <w:color w:val="auto"/>
          <w:sz w:val="32"/>
          <w:szCs w:val="32"/>
          <w:highlight w:val="none"/>
          <w:lang w:eastAsia="zh-CN"/>
        </w:rPr>
        <w:t>技术要求</w:t>
      </w:r>
    </w:p>
    <w:p w14:paraId="3D6B17B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color w:val="auto"/>
          <w:sz w:val="32"/>
          <w:szCs w:val="32"/>
          <w:highlight w:val="none"/>
        </w:rPr>
        <w:t>采购</w:t>
      </w:r>
      <w:r>
        <w:rPr>
          <w:rFonts w:hint="eastAsia" w:ascii="Times New Roman" w:hAnsi="Times New Roman" w:eastAsia="黑体" w:cs="Times New Roman"/>
          <w:color w:val="auto"/>
          <w:sz w:val="32"/>
          <w:szCs w:val="32"/>
          <w:highlight w:val="none"/>
          <w:lang w:eastAsia="zh-CN"/>
        </w:rPr>
        <w:t>项目</w:t>
      </w:r>
      <w:r>
        <w:rPr>
          <w:rFonts w:hint="default" w:ascii="Times New Roman" w:hAnsi="Times New Roman" w:eastAsia="黑体" w:cs="Times New Roman"/>
          <w:color w:val="auto"/>
          <w:sz w:val="32"/>
          <w:szCs w:val="32"/>
          <w:highlight w:val="none"/>
        </w:rPr>
        <w:t>内容和要求</w:t>
      </w:r>
    </w:p>
    <w:p w14:paraId="3E32EE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b w:val="0"/>
          <w:bCs w:val="0"/>
          <w:color w:val="auto"/>
          <w:sz w:val="32"/>
          <w:szCs w:val="32"/>
          <w:highlight w:val="none"/>
        </w:rPr>
        <w:t>（一）</w:t>
      </w:r>
      <w:r>
        <w:rPr>
          <w:rFonts w:hint="default" w:ascii="Times New Roman" w:hAnsi="Times New Roman" w:eastAsia="楷体" w:cs="Times New Roman"/>
          <w:color w:val="auto"/>
          <w:sz w:val="32"/>
          <w:szCs w:val="32"/>
          <w:highlight w:val="none"/>
          <w:lang w:eastAsia="zh-CN"/>
        </w:rPr>
        <w:t>项目</w:t>
      </w:r>
      <w:r>
        <w:rPr>
          <w:rFonts w:hint="default" w:ascii="Times New Roman" w:hAnsi="Times New Roman" w:eastAsia="楷体" w:cs="Times New Roman"/>
          <w:color w:val="auto"/>
          <w:sz w:val="32"/>
          <w:szCs w:val="32"/>
          <w:highlight w:val="none"/>
        </w:rPr>
        <w:t>要求</w:t>
      </w:r>
    </w:p>
    <w:p w14:paraId="5E04A1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1.服务范围：包括物资分类打包、全程搬运、安全运输、指定房间精准卸车摆放，以及必要的拆卸与安装，</w:t>
      </w:r>
      <w:r>
        <w:rPr>
          <w:rFonts w:hint="eastAsia" w:ascii="Times New Roman" w:hAnsi="Times New Roman" w:eastAsia="仿宋_GB2312" w:cs="Times New Roman"/>
          <w:b w:val="0"/>
          <w:bCs/>
          <w:color w:val="auto"/>
          <w:sz w:val="32"/>
          <w:szCs w:val="32"/>
          <w:highlight w:val="none"/>
          <w:lang w:val="en-US" w:eastAsia="zh-CN"/>
        </w:rPr>
        <w:t>探视</w:t>
      </w:r>
      <w:r>
        <w:rPr>
          <w:rFonts w:hint="default" w:ascii="Times New Roman" w:hAnsi="Times New Roman" w:eastAsia="仿宋_GB2312" w:cs="Times New Roman"/>
          <w:b w:val="0"/>
          <w:bCs/>
          <w:color w:val="auto"/>
          <w:sz w:val="32"/>
          <w:szCs w:val="32"/>
          <w:highlight w:val="none"/>
          <w:lang w:val="en-US" w:eastAsia="zh-CN"/>
        </w:rPr>
        <w:t>岗亭的吊装、运输与安装，宣传栏的拆卸、搬运与安装等全流程服务。</w:t>
      </w:r>
    </w:p>
    <w:p w14:paraId="70DCCB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2.服务目标：严格遵循既定时间节点，确保搬迁过程安全无事故、物资无损坏，作业高效有序，符合安全管理要求。</w:t>
      </w:r>
    </w:p>
    <w:p w14:paraId="7E5E40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3.服务期限：按采购人要求的时间节点完成全部搬迁及安装工作。</w:t>
      </w:r>
      <w:r>
        <w:rPr>
          <w:rFonts w:hint="default" w:ascii="Times New Roman" w:hAnsi="Times New Roman" w:eastAsia="仿宋_GB2312" w:cs="Times New Roman"/>
          <w:color w:val="auto"/>
          <w:sz w:val="32"/>
          <w:szCs w:val="32"/>
          <w:highlight w:val="none"/>
          <w:lang w:val="en-US" w:eastAsia="zh-CN"/>
        </w:rPr>
        <w:t xml:space="preserve">具体服务内容如下：  </w:t>
      </w:r>
    </w:p>
    <w:p w14:paraId="02A9937B">
      <w:pPr>
        <w:pStyle w:val="2"/>
        <w:rPr>
          <w:rFonts w:hint="default"/>
          <w:lang w:val="en-US" w:eastAsia="zh-CN"/>
        </w:rPr>
      </w:pPr>
    </w:p>
    <w:p w14:paraId="2131FABE">
      <w:pPr>
        <w:pStyle w:val="2"/>
        <w:rPr>
          <w:rFonts w:hint="default"/>
          <w:highlight w:val="none"/>
        </w:rPr>
      </w:pPr>
      <w:bookmarkStart w:id="0" w:name="_GoBack"/>
    </w:p>
    <w:tbl>
      <w:tblPr>
        <w:tblStyle w:val="9"/>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1260"/>
        <w:gridCol w:w="923"/>
        <w:gridCol w:w="750"/>
        <w:gridCol w:w="1340"/>
        <w:gridCol w:w="4105"/>
      </w:tblGrid>
      <w:tr w14:paraId="25F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750" w:type="dxa"/>
            <w:shd w:val="clear" w:color="auto" w:fill="auto"/>
            <w:noWrap/>
            <w:vAlign w:val="center"/>
          </w:tcPr>
          <w:p w14:paraId="28DCE1BA">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序号</w:t>
            </w:r>
          </w:p>
        </w:tc>
        <w:tc>
          <w:tcPr>
            <w:tcW w:w="1260" w:type="dxa"/>
            <w:shd w:val="clear" w:color="auto" w:fill="auto"/>
            <w:vAlign w:val="center"/>
          </w:tcPr>
          <w:p w14:paraId="7162FFE4">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项目</w:t>
            </w:r>
          </w:p>
        </w:tc>
        <w:tc>
          <w:tcPr>
            <w:tcW w:w="923" w:type="dxa"/>
            <w:shd w:val="clear" w:color="auto" w:fill="auto"/>
            <w:vAlign w:val="center"/>
          </w:tcPr>
          <w:p w14:paraId="6EB668EF">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数量</w:t>
            </w:r>
          </w:p>
        </w:tc>
        <w:tc>
          <w:tcPr>
            <w:tcW w:w="750" w:type="dxa"/>
            <w:shd w:val="clear" w:color="auto" w:fill="auto"/>
            <w:vAlign w:val="center"/>
          </w:tcPr>
          <w:p w14:paraId="6CC65E72">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单位</w:t>
            </w:r>
          </w:p>
        </w:tc>
        <w:tc>
          <w:tcPr>
            <w:tcW w:w="1340" w:type="dxa"/>
            <w:shd w:val="clear" w:color="auto" w:fill="auto"/>
            <w:vAlign w:val="center"/>
          </w:tcPr>
          <w:p w14:paraId="38228861">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最高单价</w:t>
            </w:r>
          </w:p>
        </w:tc>
        <w:tc>
          <w:tcPr>
            <w:tcW w:w="4105" w:type="dxa"/>
            <w:shd w:val="clear" w:color="auto" w:fill="auto"/>
            <w:vAlign w:val="center"/>
          </w:tcPr>
          <w:p w14:paraId="137C8E15">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服务内容</w:t>
            </w:r>
          </w:p>
        </w:tc>
      </w:tr>
      <w:tr w14:paraId="18E3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50" w:type="dxa"/>
            <w:shd w:val="clear" w:color="auto" w:fill="auto"/>
            <w:noWrap/>
            <w:vAlign w:val="center"/>
          </w:tcPr>
          <w:p w14:paraId="5577D16D">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1</w:t>
            </w:r>
          </w:p>
        </w:tc>
        <w:tc>
          <w:tcPr>
            <w:tcW w:w="1260" w:type="dxa"/>
            <w:shd w:val="clear" w:color="auto" w:fill="auto"/>
            <w:vAlign w:val="center"/>
          </w:tcPr>
          <w:p w14:paraId="12F674F9">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车辆搬运</w:t>
            </w:r>
          </w:p>
        </w:tc>
        <w:tc>
          <w:tcPr>
            <w:tcW w:w="923" w:type="dxa"/>
            <w:shd w:val="clear" w:color="auto" w:fill="auto"/>
            <w:vAlign w:val="center"/>
          </w:tcPr>
          <w:p w14:paraId="72898E4B">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51</w:t>
            </w:r>
          </w:p>
        </w:tc>
        <w:tc>
          <w:tcPr>
            <w:tcW w:w="750" w:type="dxa"/>
            <w:shd w:val="clear" w:color="auto" w:fill="auto"/>
            <w:vAlign w:val="center"/>
          </w:tcPr>
          <w:p w14:paraId="0F9F7AEB">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车次</w:t>
            </w:r>
          </w:p>
        </w:tc>
        <w:tc>
          <w:tcPr>
            <w:tcW w:w="1340" w:type="dxa"/>
            <w:shd w:val="clear" w:color="auto" w:fill="auto"/>
            <w:vAlign w:val="center"/>
          </w:tcPr>
          <w:p w14:paraId="5C0FCB6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1200元</w:t>
            </w:r>
          </w:p>
        </w:tc>
        <w:tc>
          <w:tcPr>
            <w:tcW w:w="4105" w:type="dxa"/>
            <w:shd w:val="clear" w:color="auto" w:fill="auto"/>
            <w:vAlign w:val="center"/>
          </w:tcPr>
          <w:p w14:paraId="3090B80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所有物资打包（含打包材料）、装车、搬运、卸车、入户安置，必要的拆卸安装等</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r>
      <w:tr w14:paraId="67A1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50" w:type="dxa"/>
            <w:shd w:val="clear" w:color="auto" w:fill="auto"/>
            <w:noWrap/>
            <w:vAlign w:val="center"/>
          </w:tcPr>
          <w:p w14:paraId="6A4FBD24">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2"/>
                <w:sz w:val="24"/>
                <w:szCs w:val="24"/>
                <w:highlight w:val="none"/>
                <w:u w:val="none"/>
                <w:lang w:val="en-US" w:eastAsia="zh-CN" w:bidi="ar-SA"/>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2</w:t>
            </w:r>
          </w:p>
        </w:tc>
        <w:tc>
          <w:tcPr>
            <w:tcW w:w="1260" w:type="dxa"/>
            <w:shd w:val="clear" w:color="auto" w:fill="auto"/>
            <w:vAlign w:val="center"/>
          </w:tcPr>
          <w:p w14:paraId="2E31A653">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探视</w:t>
            </w:r>
            <w:r>
              <w:rPr>
                <w:rFonts w:hint="default" w:ascii="Times New Roman" w:hAnsi="Times New Roman" w:eastAsia="仿宋_GB2312" w:cs="Times New Roman"/>
                <w:i w:val="0"/>
                <w:iCs w:val="0"/>
                <w:color w:val="auto"/>
                <w:kern w:val="0"/>
                <w:sz w:val="24"/>
                <w:szCs w:val="24"/>
                <w:highlight w:val="none"/>
                <w:u w:val="none"/>
                <w:lang w:val="en-US" w:eastAsia="zh-CN" w:bidi="ar"/>
              </w:rPr>
              <w:t>岗亭搬迁</w:t>
            </w:r>
          </w:p>
        </w:tc>
        <w:tc>
          <w:tcPr>
            <w:tcW w:w="923" w:type="dxa"/>
            <w:shd w:val="clear" w:color="auto" w:fill="auto"/>
            <w:vAlign w:val="center"/>
          </w:tcPr>
          <w:p w14:paraId="2B39EA52">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750" w:type="dxa"/>
            <w:shd w:val="clear" w:color="auto" w:fill="auto"/>
            <w:vAlign w:val="center"/>
          </w:tcPr>
          <w:p w14:paraId="30F684C7">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宗</w:t>
            </w:r>
          </w:p>
        </w:tc>
        <w:tc>
          <w:tcPr>
            <w:tcW w:w="1340" w:type="dxa"/>
            <w:shd w:val="clear" w:color="auto" w:fill="auto"/>
            <w:vAlign w:val="center"/>
          </w:tcPr>
          <w:p w14:paraId="2B16B7B1">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2500元</w:t>
            </w:r>
          </w:p>
        </w:tc>
        <w:tc>
          <w:tcPr>
            <w:tcW w:w="4105" w:type="dxa"/>
            <w:shd w:val="clear" w:color="auto" w:fill="auto"/>
            <w:vAlign w:val="center"/>
          </w:tcPr>
          <w:p w14:paraId="1BC52BAA">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吊装，搬运，运输，安装等</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r>
      <w:tr w14:paraId="1BBD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0" w:type="dxa"/>
            <w:shd w:val="clear" w:color="auto" w:fill="auto"/>
            <w:noWrap/>
            <w:vAlign w:val="center"/>
          </w:tcPr>
          <w:p w14:paraId="5227090B">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3</w:t>
            </w:r>
          </w:p>
        </w:tc>
        <w:tc>
          <w:tcPr>
            <w:tcW w:w="1260" w:type="dxa"/>
            <w:shd w:val="clear" w:color="auto" w:fill="auto"/>
            <w:vAlign w:val="center"/>
          </w:tcPr>
          <w:p w14:paraId="3352F6DB">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老人区</w:t>
            </w:r>
            <w:r>
              <w:rPr>
                <w:rFonts w:hint="default" w:ascii="Times New Roman" w:hAnsi="Times New Roman" w:eastAsia="仿宋_GB2312" w:cs="Times New Roman"/>
                <w:i w:val="0"/>
                <w:iCs w:val="0"/>
                <w:color w:val="auto"/>
                <w:kern w:val="0"/>
                <w:sz w:val="24"/>
                <w:szCs w:val="24"/>
                <w:highlight w:val="none"/>
                <w:u w:val="none"/>
                <w:lang w:val="en-US" w:eastAsia="zh-CN" w:bidi="ar"/>
              </w:rPr>
              <w:t>宣传栏搬迁</w:t>
            </w:r>
          </w:p>
        </w:tc>
        <w:tc>
          <w:tcPr>
            <w:tcW w:w="923" w:type="dxa"/>
            <w:shd w:val="clear" w:color="auto" w:fill="auto"/>
            <w:vAlign w:val="center"/>
          </w:tcPr>
          <w:p w14:paraId="40D59759">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750" w:type="dxa"/>
            <w:shd w:val="clear" w:color="auto" w:fill="auto"/>
            <w:vAlign w:val="center"/>
          </w:tcPr>
          <w:p w14:paraId="6268D163">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宗</w:t>
            </w:r>
          </w:p>
        </w:tc>
        <w:tc>
          <w:tcPr>
            <w:tcW w:w="1340" w:type="dxa"/>
            <w:shd w:val="clear" w:color="auto" w:fill="auto"/>
            <w:vAlign w:val="center"/>
          </w:tcPr>
          <w:p w14:paraId="36A17DA5">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r>
              <w:rPr>
                <w:rFonts w:hint="eastAsia" w:ascii="Times New Roman" w:hAnsi="Times New Roman" w:eastAsia="仿宋_GB2312" w:cs="Times New Roman"/>
                <w:i w:val="0"/>
                <w:iCs w:val="0"/>
                <w:color w:val="auto"/>
                <w:kern w:val="0"/>
                <w:sz w:val="24"/>
                <w:szCs w:val="24"/>
                <w:highlight w:val="none"/>
                <w:u w:val="none"/>
                <w:lang w:val="en-US" w:eastAsia="zh-CN" w:bidi="ar"/>
              </w:rPr>
              <w:t>8</w:t>
            </w:r>
            <w:r>
              <w:rPr>
                <w:rFonts w:hint="default" w:ascii="Times New Roman" w:hAnsi="Times New Roman" w:eastAsia="仿宋_GB2312" w:cs="Times New Roman"/>
                <w:i w:val="0"/>
                <w:iCs w:val="0"/>
                <w:color w:val="auto"/>
                <w:kern w:val="0"/>
                <w:sz w:val="24"/>
                <w:szCs w:val="24"/>
                <w:highlight w:val="none"/>
                <w:u w:val="none"/>
                <w:lang w:val="en-US" w:eastAsia="zh-CN" w:bidi="ar"/>
              </w:rPr>
              <w:t>0元</w:t>
            </w:r>
          </w:p>
        </w:tc>
        <w:tc>
          <w:tcPr>
            <w:tcW w:w="4105" w:type="dxa"/>
            <w:shd w:val="clear" w:color="auto" w:fill="auto"/>
            <w:vAlign w:val="center"/>
          </w:tcPr>
          <w:p w14:paraId="6F222F91">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共3个；包含宣传栏的</w:t>
            </w:r>
            <w:r>
              <w:rPr>
                <w:rFonts w:hint="default" w:ascii="Times New Roman" w:hAnsi="Times New Roman" w:eastAsia="仿宋_GB2312" w:cs="Times New Roman"/>
                <w:i w:val="0"/>
                <w:iCs w:val="0"/>
                <w:color w:val="auto"/>
                <w:kern w:val="0"/>
                <w:sz w:val="24"/>
                <w:szCs w:val="24"/>
                <w:highlight w:val="none"/>
                <w:u w:val="none"/>
                <w:lang w:val="en-US" w:eastAsia="zh-CN" w:bidi="ar"/>
              </w:rPr>
              <w:t>拆除，搬运，运输，安装等</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r>
      <w:tr w14:paraId="2183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4" w:hRule="atLeast"/>
          <w:jc w:val="center"/>
        </w:trPr>
        <w:tc>
          <w:tcPr>
            <w:tcW w:w="750" w:type="dxa"/>
            <w:shd w:val="clear" w:color="auto" w:fill="auto"/>
            <w:noWrap/>
            <w:vAlign w:val="center"/>
          </w:tcPr>
          <w:p w14:paraId="520AF856">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4</w:t>
            </w:r>
          </w:p>
        </w:tc>
        <w:tc>
          <w:tcPr>
            <w:tcW w:w="1260" w:type="dxa"/>
            <w:shd w:val="clear" w:color="auto" w:fill="auto"/>
            <w:vAlign w:val="center"/>
          </w:tcPr>
          <w:p w14:paraId="36A6E133">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包装纸箱</w:t>
            </w:r>
          </w:p>
        </w:tc>
        <w:tc>
          <w:tcPr>
            <w:tcW w:w="923" w:type="dxa"/>
            <w:shd w:val="clear" w:color="auto" w:fill="auto"/>
            <w:vAlign w:val="center"/>
          </w:tcPr>
          <w:p w14:paraId="7CA479E8">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1280</w:t>
            </w:r>
          </w:p>
        </w:tc>
        <w:tc>
          <w:tcPr>
            <w:tcW w:w="750" w:type="dxa"/>
            <w:shd w:val="clear" w:color="auto" w:fill="auto"/>
            <w:vAlign w:val="center"/>
          </w:tcPr>
          <w:p w14:paraId="57B7347E">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个</w:t>
            </w:r>
          </w:p>
        </w:tc>
        <w:tc>
          <w:tcPr>
            <w:tcW w:w="1340" w:type="dxa"/>
            <w:shd w:val="clear" w:color="auto" w:fill="auto"/>
            <w:vAlign w:val="center"/>
          </w:tcPr>
          <w:p w14:paraId="256E5265">
            <w:pPr>
              <w:keepNext w:val="0"/>
              <w:keepLines w:val="0"/>
              <w:pageBreakBefore w:val="0"/>
              <w:kinsoku/>
              <w:wordWrap/>
              <w:overflowPunct/>
              <w:topLinePunct w:val="0"/>
              <w:autoSpaceDE/>
              <w:autoSpaceDN/>
              <w:bidi w:val="0"/>
              <w:adjustRightInd/>
              <w:snapToGrid/>
              <w:spacing w:line="579" w:lineRule="exact"/>
              <w:jc w:val="center"/>
              <w:rPr>
                <w:rFonts w:hint="default"/>
                <w:highlight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15元</w:t>
            </w:r>
          </w:p>
        </w:tc>
        <w:tc>
          <w:tcPr>
            <w:tcW w:w="4105" w:type="dxa"/>
            <w:shd w:val="clear" w:color="auto" w:fill="auto"/>
            <w:vAlign w:val="center"/>
          </w:tcPr>
          <w:p w14:paraId="28B82F48">
            <w:pPr>
              <w:keepNext w:val="0"/>
              <w:keepLines w:val="0"/>
              <w:pageBreakBefore w:val="0"/>
              <w:numPr>
                <w:ilvl w:val="0"/>
                <w:numId w:val="0"/>
              </w:numPr>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1.</w:t>
            </w:r>
            <w:r>
              <w:rPr>
                <w:rFonts w:hint="default" w:ascii="Times New Roman" w:hAnsi="Times New Roman" w:eastAsia="仿宋_GB2312" w:cs="Times New Roman"/>
                <w:i w:val="0"/>
                <w:iCs w:val="0"/>
                <w:color w:val="auto"/>
                <w:sz w:val="24"/>
                <w:szCs w:val="24"/>
                <w:highlight w:val="none"/>
                <w:u w:val="none"/>
                <w:lang w:val="en-US" w:eastAsia="zh-CN"/>
              </w:rPr>
              <w:t>材质</w:t>
            </w:r>
            <w:r>
              <w:rPr>
                <w:rFonts w:hint="eastAsia" w:ascii="Times New Roman" w:hAnsi="Times New Roman" w:eastAsia="仿宋_GB2312" w:cs="Times New Roman"/>
                <w:i w:val="0"/>
                <w:iCs w:val="0"/>
                <w:color w:val="auto"/>
                <w:sz w:val="24"/>
                <w:szCs w:val="24"/>
                <w:highlight w:val="none"/>
                <w:u w:val="none"/>
                <w:lang w:val="en-US" w:eastAsia="zh-CN"/>
              </w:rPr>
              <w:t>要求：</w:t>
            </w:r>
            <w:r>
              <w:rPr>
                <w:rFonts w:hint="default" w:ascii="Times New Roman" w:hAnsi="Times New Roman" w:eastAsia="仿宋_GB2312" w:cs="Times New Roman"/>
                <w:i w:val="0"/>
                <w:iCs w:val="0"/>
                <w:color w:val="auto"/>
                <w:sz w:val="24"/>
                <w:szCs w:val="24"/>
                <w:highlight w:val="none"/>
                <w:u w:val="none"/>
                <w:lang w:val="en-US" w:eastAsia="zh-CN"/>
              </w:rPr>
              <w:t>按物品重量</w:t>
            </w:r>
            <w:r>
              <w:rPr>
                <w:rFonts w:hint="eastAsia" w:ascii="Times New Roman" w:hAnsi="Times New Roman" w:eastAsia="仿宋_GB2312" w:cs="Times New Roman"/>
                <w:i w:val="0"/>
                <w:iCs w:val="0"/>
                <w:color w:val="auto"/>
                <w:sz w:val="24"/>
                <w:szCs w:val="24"/>
                <w:highlight w:val="none"/>
                <w:u w:val="none"/>
                <w:lang w:val="en-US" w:eastAsia="zh-CN"/>
              </w:rPr>
              <w:t>选择</w:t>
            </w:r>
            <w:r>
              <w:rPr>
                <w:rFonts w:hint="default" w:ascii="Times New Roman" w:hAnsi="Times New Roman" w:eastAsia="仿宋_GB2312" w:cs="Times New Roman"/>
                <w:i w:val="0"/>
                <w:iCs w:val="0"/>
                <w:color w:val="auto"/>
                <w:sz w:val="24"/>
                <w:szCs w:val="24"/>
                <w:highlight w:val="none"/>
                <w:u w:val="none"/>
                <w:lang w:val="en-US" w:eastAsia="zh-CN"/>
              </w:rPr>
              <w:t>对应瓦楞类型，普通物品用三层E楞箱，中等重量物品用五层BC楞箱，重型或高堆码物品用七层箱；</w:t>
            </w:r>
          </w:p>
          <w:p w14:paraId="6170B3E6">
            <w:pPr>
              <w:keepNext w:val="0"/>
              <w:keepLines w:val="0"/>
              <w:pageBreakBefore w:val="0"/>
              <w:numPr>
                <w:ilvl w:val="0"/>
                <w:numId w:val="0"/>
              </w:numPr>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2.</w:t>
            </w:r>
            <w:r>
              <w:rPr>
                <w:rFonts w:hint="default" w:ascii="Times New Roman" w:hAnsi="Times New Roman" w:eastAsia="仿宋_GB2312" w:cs="Times New Roman"/>
                <w:i w:val="0"/>
                <w:iCs w:val="0"/>
                <w:color w:val="auto"/>
                <w:sz w:val="24"/>
                <w:szCs w:val="24"/>
                <w:highlight w:val="none"/>
                <w:u w:val="none"/>
                <w:lang w:val="en-US" w:eastAsia="zh-CN"/>
              </w:rPr>
              <w:t>性能</w:t>
            </w:r>
            <w:r>
              <w:rPr>
                <w:rFonts w:hint="eastAsia" w:ascii="Times New Roman" w:hAnsi="Times New Roman" w:eastAsia="仿宋_GB2312" w:cs="Times New Roman"/>
                <w:i w:val="0"/>
                <w:iCs w:val="0"/>
                <w:color w:val="auto"/>
                <w:sz w:val="24"/>
                <w:szCs w:val="24"/>
                <w:highlight w:val="none"/>
                <w:u w:val="none"/>
                <w:lang w:val="en-US" w:eastAsia="zh-CN"/>
              </w:rPr>
              <w:t>要求：</w:t>
            </w:r>
            <w:r>
              <w:rPr>
                <w:rFonts w:hint="default" w:ascii="Times New Roman" w:hAnsi="Times New Roman" w:eastAsia="仿宋_GB2312" w:cs="Times New Roman"/>
                <w:i w:val="0"/>
                <w:iCs w:val="0"/>
                <w:color w:val="auto"/>
                <w:sz w:val="24"/>
                <w:szCs w:val="24"/>
                <w:highlight w:val="none"/>
                <w:u w:val="none"/>
                <w:lang w:val="en-US" w:eastAsia="zh-CN"/>
              </w:rPr>
              <w:t>搬家常用款承重≥30kg，易碎、重型物品专用箱承重≥50kg，耐破强度≥1500kPa；</w:t>
            </w:r>
          </w:p>
          <w:p w14:paraId="5BB19A6B">
            <w:pPr>
              <w:keepNext w:val="0"/>
              <w:keepLines w:val="0"/>
              <w:pageBreakBefore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3.</w:t>
            </w:r>
            <w:r>
              <w:rPr>
                <w:rFonts w:hint="default" w:ascii="Times New Roman" w:hAnsi="Times New Roman" w:eastAsia="仿宋_GB2312" w:cs="Times New Roman"/>
                <w:i w:val="0"/>
                <w:iCs w:val="0"/>
                <w:color w:val="auto"/>
                <w:sz w:val="24"/>
                <w:szCs w:val="24"/>
                <w:highlight w:val="none"/>
                <w:u w:val="none"/>
                <w:lang w:val="en-US" w:eastAsia="zh-CN"/>
              </w:rPr>
              <w:t>尺寸</w:t>
            </w:r>
            <w:r>
              <w:rPr>
                <w:rFonts w:hint="eastAsia" w:ascii="Times New Roman" w:hAnsi="Times New Roman" w:eastAsia="仿宋_GB2312" w:cs="Times New Roman"/>
                <w:i w:val="0"/>
                <w:iCs w:val="0"/>
                <w:color w:val="auto"/>
                <w:sz w:val="24"/>
                <w:szCs w:val="24"/>
                <w:highlight w:val="none"/>
                <w:u w:val="none"/>
                <w:lang w:val="en-US" w:eastAsia="zh-CN"/>
              </w:rPr>
              <w:t>要求：</w:t>
            </w:r>
            <w:r>
              <w:rPr>
                <w:rFonts w:hint="default" w:ascii="Times New Roman" w:hAnsi="Times New Roman" w:eastAsia="仿宋_GB2312" w:cs="Times New Roman"/>
                <w:i w:val="0"/>
                <w:iCs w:val="0"/>
                <w:color w:val="auto"/>
                <w:sz w:val="24"/>
                <w:szCs w:val="24"/>
                <w:highlight w:val="none"/>
                <w:u w:val="none"/>
                <w:lang w:val="en-US" w:eastAsia="zh-CN"/>
              </w:rPr>
              <w:t>需涵盖30×40×50cm至80×60×50cm等多种型号，方便分类装载不同物品。</w:t>
            </w:r>
          </w:p>
        </w:tc>
      </w:tr>
      <w:tr w14:paraId="3D2C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0" w:type="dxa"/>
            <w:shd w:val="clear" w:color="auto" w:fill="auto"/>
            <w:noWrap/>
            <w:vAlign w:val="center"/>
          </w:tcPr>
          <w:p w14:paraId="68158FB9">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eastAsia" w:ascii="Times New Roman" w:hAnsi="Times New Roman" w:eastAsia="仿宋_GB2312" w:cs="Times New Roman"/>
                <w:b/>
                <w:bCs/>
                <w:i w:val="0"/>
                <w:iCs w:val="0"/>
                <w:color w:val="auto"/>
                <w:kern w:val="0"/>
                <w:sz w:val="24"/>
                <w:szCs w:val="24"/>
                <w:highlight w:val="none"/>
                <w:u w:val="none"/>
                <w:lang w:val="en-US" w:eastAsia="zh-CN" w:bidi="ar"/>
              </w:rPr>
              <w:t>5</w:t>
            </w:r>
          </w:p>
        </w:tc>
        <w:tc>
          <w:tcPr>
            <w:tcW w:w="1260" w:type="dxa"/>
            <w:shd w:val="clear" w:color="auto" w:fill="auto"/>
            <w:vAlign w:val="center"/>
          </w:tcPr>
          <w:p w14:paraId="3E4FEDCF">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搬家</w:t>
            </w:r>
          </w:p>
          <w:p w14:paraId="786BB83B">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宋体" w:hAnsi="Courier New" w:eastAsia="宋体" w:cstheme="minorBidi"/>
                <w:kern w:val="2"/>
                <w:sz w:val="21"/>
                <w:szCs w:val="24"/>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打包袋</w:t>
            </w:r>
          </w:p>
        </w:tc>
        <w:tc>
          <w:tcPr>
            <w:tcW w:w="923" w:type="dxa"/>
            <w:shd w:val="clear" w:color="auto" w:fill="auto"/>
            <w:vAlign w:val="center"/>
          </w:tcPr>
          <w:p w14:paraId="682BF5D3">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264</w:t>
            </w:r>
          </w:p>
        </w:tc>
        <w:tc>
          <w:tcPr>
            <w:tcW w:w="750" w:type="dxa"/>
            <w:shd w:val="clear" w:color="auto" w:fill="auto"/>
            <w:vAlign w:val="center"/>
          </w:tcPr>
          <w:p w14:paraId="6D0A31AD">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个</w:t>
            </w:r>
          </w:p>
        </w:tc>
        <w:tc>
          <w:tcPr>
            <w:tcW w:w="1340" w:type="dxa"/>
            <w:shd w:val="clear" w:color="auto" w:fill="auto"/>
            <w:vAlign w:val="center"/>
          </w:tcPr>
          <w:p w14:paraId="5F7A71F1">
            <w:pPr>
              <w:keepNext w:val="0"/>
              <w:keepLines w:val="0"/>
              <w:pageBreakBefore w:val="0"/>
              <w:kinsoku/>
              <w:wordWrap/>
              <w:overflowPunct/>
              <w:topLinePunct w:val="0"/>
              <w:autoSpaceDE/>
              <w:autoSpaceDN/>
              <w:bidi w:val="0"/>
              <w:adjustRightInd/>
              <w:snapToGrid/>
              <w:spacing w:line="579" w:lineRule="exact"/>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30元</w:t>
            </w:r>
          </w:p>
        </w:tc>
        <w:tc>
          <w:tcPr>
            <w:tcW w:w="4105" w:type="dxa"/>
            <w:shd w:val="clear" w:color="auto" w:fill="auto"/>
            <w:vAlign w:val="center"/>
          </w:tcPr>
          <w:p w14:paraId="4AED0911">
            <w:pPr>
              <w:keepNext w:val="0"/>
              <w:keepLines w:val="0"/>
              <w:pageBreakBefore w:val="0"/>
              <w:numPr>
                <w:ilvl w:val="0"/>
                <w:numId w:val="0"/>
              </w:numPr>
              <w:kinsoku/>
              <w:wordWrap/>
              <w:overflowPunct/>
              <w:topLinePunct w:val="0"/>
              <w:autoSpaceDE/>
              <w:autoSpaceDN/>
              <w:bidi w:val="0"/>
              <w:adjustRightInd/>
              <w:snapToGrid/>
              <w:spacing w:line="579" w:lineRule="exact"/>
              <w:jc w:val="both"/>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1.容量要求：袋口直径≥50cm，高度≥100cm，确保能容纳240升物品，且便于打包和堆叠；</w:t>
            </w:r>
          </w:p>
          <w:p w14:paraId="3BB6690A">
            <w:pPr>
              <w:keepNext w:val="0"/>
              <w:keepLines w:val="0"/>
              <w:pageBreakBefore w:val="0"/>
              <w:numPr>
                <w:ilvl w:val="0"/>
                <w:numId w:val="0"/>
              </w:numPr>
              <w:kinsoku/>
              <w:wordWrap/>
              <w:overflowPunct/>
              <w:topLinePunct w:val="0"/>
              <w:autoSpaceDE/>
              <w:autoSpaceDN/>
              <w:bidi w:val="0"/>
              <w:adjustRightInd/>
              <w:snapToGrid/>
              <w:spacing w:line="579" w:lineRule="exact"/>
              <w:jc w:val="both"/>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2.材质要求：选用PE编织布，额定承重≥50kg（静态承重），袋底采用双层编织布加固，底部承重≥60kg，提手单独承重≥30kg。</w:t>
            </w:r>
          </w:p>
          <w:p w14:paraId="15048AD0">
            <w:pPr>
              <w:keepNext w:val="0"/>
              <w:keepLines w:val="0"/>
              <w:pageBreakBefore w:val="0"/>
              <w:numPr>
                <w:ilvl w:val="0"/>
                <w:numId w:val="0"/>
              </w:numPr>
              <w:kinsoku/>
              <w:wordWrap/>
              <w:overflowPunct/>
              <w:topLinePunct w:val="0"/>
              <w:autoSpaceDE/>
              <w:autoSpaceDN/>
              <w:bidi w:val="0"/>
              <w:adjustRightInd/>
              <w:snapToGrid/>
              <w:spacing w:line="579" w:lineRule="exact"/>
              <w:ind w:left="0" w:leftChars="0" w:firstLine="0" w:firstLineChars="0"/>
              <w:jc w:val="both"/>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2.性能要求：具有抗撕裂、耐磨、防水防潮特性；可抵御搬迁过程中的摩擦与轻微撞击，正常提拉、搬运时无明显变形或破损。</w:t>
            </w:r>
          </w:p>
        </w:tc>
      </w:tr>
    </w:tbl>
    <w:p w14:paraId="604BE35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说明：以上项目数量为预估数量，最终以实际发生数量进行结算。</w:t>
      </w:r>
    </w:p>
    <w:bookmarkEnd w:id="0"/>
    <w:p w14:paraId="024CAF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（二）采购要求</w:t>
      </w:r>
    </w:p>
    <w:p w14:paraId="35A96C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1.配置要求</w:t>
      </w:r>
    </w:p>
    <w:p w14:paraId="408CD15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（1）车辆要求：</w:t>
      </w:r>
      <w:r>
        <w:rPr>
          <w:rFonts w:hint="eastAsia" w:ascii="Times New Roman" w:hAnsi="Times New Roman" w:eastAsia="仿宋_GB2312" w:cs="Times New Roman"/>
          <w:color w:val="auto"/>
          <w:sz w:val="32"/>
          <w:szCs w:val="32"/>
          <w:highlight w:val="none"/>
          <w:lang w:val="en-US" w:eastAsia="zh-CN"/>
        </w:rPr>
        <w:t>提供不少于</w:t>
      </w:r>
      <w:r>
        <w:rPr>
          <w:rFonts w:hint="default" w:ascii="Times New Roman" w:hAnsi="Times New Roman" w:eastAsia="仿宋_GB2312" w:cs="Times New Roman"/>
          <w:color w:val="auto"/>
          <w:sz w:val="32"/>
          <w:szCs w:val="32"/>
          <w:highlight w:val="none"/>
          <w:lang w:val="en-US" w:eastAsia="zh-CN"/>
        </w:rPr>
        <w:t>3辆封闭厢式货车（货箱长4.2m、宽2.1-2.55m、高2.1-3m，总质量6-12吨），</w:t>
      </w:r>
      <w:r>
        <w:rPr>
          <w:rFonts w:hint="eastAsia" w:ascii="Times New Roman" w:hAnsi="Times New Roman" w:eastAsia="仿宋_GB2312" w:cs="Times New Roman"/>
          <w:color w:val="auto"/>
          <w:sz w:val="32"/>
          <w:szCs w:val="32"/>
          <w:highlight w:val="none"/>
          <w:lang w:val="en-US" w:eastAsia="zh-CN"/>
        </w:rPr>
        <w:t>以确保同步运输服务</w:t>
      </w:r>
      <w:r>
        <w:rPr>
          <w:rFonts w:hint="default" w:ascii="Times New Roman" w:hAnsi="Times New Roman" w:eastAsia="仿宋_GB2312" w:cs="Times New Roman"/>
          <w:color w:val="auto"/>
          <w:sz w:val="32"/>
          <w:szCs w:val="32"/>
          <w:highlight w:val="none"/>
          <w:lang w:val="en-US" w:eastAsia="zh-CN"/>
        </w:rPr>
        <w:t>，司机及车辆具备相应资质，且证件年检、保险均在有效期内。</w:t>
      </w:r>
    </w:p>
    <w:p w14:paraId="1D000861">
      <w:pPr>
        <w:keepNext w:val="0"/>
        <w:keepLines w:val="0"/>
        <w:pageBreakBefore w:val="0"/>
        <w:kinsoku/>
        <w:wordWrap/>
        <w:overflowPunct/>
        <w:topLinePunct w:val="0"/>
        <w:autoSpaceDE/>
        <w:autoSpaceDN/>
        <w:bidi w:val="0"/>
        <w:adjustRightInd/>
        <w:snapToGrid/>
        <w:spacing w:line="579" w:lineRule="exact"/>
        <w:ind w:firstLine="640" w:firstLineChars="200"/>
        <w:rPr>
          <w:rFonts w:hint="default" w:ascii="Times New Roman" w:hAnsi="Times New Roman" w:cs="Times New Roman" w:eastAsiaTheme="minorEastAsia"/>
          <w:highlight w:val="none"/>
          <w:lang w:val="en-US" w:eastAsia="zh-CN"/>
        </w:rPr>
      </w:pPr>
      <w:r>
        <w:rPr>
          <w:rFonts w:hint="default" w:ascii="Times New Roman" w:hAnsi="Times New Roman" w:eastAsia="仿宋_GB2312" w:cs="Times New Roman"/>
          <w:color w:val="auto"/>
          <w:sz w:val="32"/>
          <w:szCs w:val="32"/>
          <w:highlight w:val="none"/>
          <w:lang w:val="en-US" w:eastAsia="zh-CN"/>
        </w:rPr>
        <w:t>（2）人员要求：配备1名项目经理，负责统筹及现场协调工作；司机≥3名；物资打包阶段打包人员≥6名，搬迁、转运阶段搬运工≥6名；根据</w:t>
      </w:r>
      <w:r>
        <w:rPr>
          <w:rFonts w:hint="eastAsia" w:ascii="Times New Roman" w:hAnsi="Times New Roman" w:eastAsia="仿宋_GB2312" w:cs="Times New Roman"/>
          <w:color w:val="auto"/>
          <w:sz w:val="32"/>
          <w:szCs w:val="32"/>
          <w:highlight w:val="none"/>
          <w:lang w:val="en-US" w:eastAsia="zh-CN"/>
        </w:rPr>
        <w:t>采购人安排的</w:t>
      </w:r>
      <w:r>
        <w:rPr>
          <w:rFonts w:hint="default" w:ascii="Times New Roman" w:hAnsi="Times New Roman" w:eastAsia="仿宋_GB2312" w:cs="Times New Roman"/>
          <w:color w:val="auto"/>
          <w:sz w:val="32"/>
          <w:szCs w:val="32"/>
          <w:highlight w:val="none"/>
          <w:lang w:val="en-US" w:eastAsia="zh-CN"/>
        </w:rPr>
        <w:t>搬迁工作时间节点，科学安排充足的人力资源，确保在规定时间内高效完成搬迁任务。</w:t>
      </w:r>
    </w:p>
    <w:p w14:paraId="4BCF66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（3）设备要求：配备与岗亭重量尺寸适配的吊装/运输设备，专业拆卸安装工具；必要的安全防护用品及包装材料等。</w:t>
      </w:r>
    </w:p>
    <w:p w14:paraId="6103D019">
      <w:pPr>
        <w:pStyle w:val="2"/>
        <w:keepNext w:val="0"/>
        <w:keepLines w:val="0"/>
        <w:pageBreakBefore w:val="0"/>
        <w:kinsoku/>
        <w:wordWrap/>
        <w:overflowPunct/>
        <w:topLinePunct w:val="0"/>
        <w:autoSpaceDE/>
        <w:autoSpaceDN/>
        <w:bidi w:val="0"/>
        <w:adjustRightInd/>
        <w:snapToGrid/>
        <w:spacing w:line="579"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2.报价要求</w:t>
      </w:r>
    </w:p>
    <w:p w14:paraId="4E031DC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价涵盖搬迁全流程的各项费用，包括但不限于包装材料费、打包搬运费、车辆运输费、卸车入户费、人员服务费、全流程保险费、税费、售后服务费、赔偿费等合规性费用，以及合同实施过程中可能出现的可预见与不可预见风险费用。</w:t>
      </w:r>
    </w:p>
    <w:p w14:paraId="5BBDCC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二</w:t>
      </w:r>
      <w:r>
        <w:rPr>
          <w:rFonts w:hint="default" w:ascii="Times New Roman" w:hAnsi="Times New Roman" w:eastAsia="黑体" w:cs="Times New Roman"/>
          <w:b w:val="0"/>
          <w:bCs w:val="0"/>
          <w:color w:val="auto"/>
          <w:sz w:val="32"/>
          <w:szCs w:val="32"/>
          <w:highlight w:val="none"/>
          <w:lang w:val="en-US" w:eastAsia="zh-CN"/>
        </w:rPr>
        <w:t>、现场服务实施细则</w:t>
      </w:r>
    </w:p>
    <w:p w14:paraId="31CC53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前期对接：成交人项目经理与采购人指定联系人对接，明确搬迁批次、时间窗口及现场禁忌；3个工作日内完成现场勘查，5个工作日内提交含路线规划、人员配置、时间节点的搬迁实施方案，经采购人审核通过后执行。</w:t>
      </w:r>
    </w:p>
    <w:p w14:paraId="733EBD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现场管理：作业期间项目经理全程在岗统筹、实时沟通；划分作业区域并设置安全警示标识，避免干扰采购人办公秩序。</w:t>
      </w:r>
    </w:p>
    <w:p w14:paraId="151F29B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.流程管控：按“分类打包→拆卸→清点核对→装车运输→卸车→安装调试→现场清理→签字确认”流程执行。</w:t>
      </w:r>
    </w:p>
    <w:p w14:paraId="019AA3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4.应急处理：配备应急人员及备用车辆、设备应对物资损坏、设备故障、交通延误等突发情况的应急处理；突发情况30分钟内响应，2小时内提出并执行解决方案。</w:t>
      </w:r>
    </w:p>
    <w:p w14:paraId="74B5E8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楷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三、搬迁时间节点</w:t>
      </w:r>
    </w:p>
    <w:p w14:paraId="7D0035AA">
      <w:pPr>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1.第一阶段：服务对象大件行李的搬迁和整理，为期3周左右；先进行打包，再进行搬运、卸车、入户安置、整理等工作。</w:t>
      </w:r>
    </w:p>
    <w:p w14:paraId="43971BA9">
      <w:pPr>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2.第二阶段：公共物资搬迁和整理，包括但不限于档案、文件、药品、探视岗亭、宣传栏的搬迁，为期2周左右；先进行打包、拆卸，再进行搬运、卸车、入户安置、安装、整理等工作。</w:t>
      </w:r>
    </w:p>
    <w:p w14:paraId="38B36A01">
      <w:pPr>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3.第三阶段：补充搬迁，为期3天左右；按照采购人提供的遗漏物资清单进行补充搬迁工作，确保所有需要搬迁的物资得到妥善处理。</w:t>
      </w:r>
    </w:p>
    <w:p w14:paraId="760296CE">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4.成交人可根据实际搬迁工作进展情况与采购人协商，灵活采取交叉服务，以确保搬迁服务工作高效完成。</w:t>
      </w:r>
    </w:p>
    <w:p w14:paraId="3F9F340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lang w:val="en-US" w:eastAsia="zh-CN"/>
        </w:rPr>
        <w:t>、服务质量与安全管理</w:t>
      </w:r>
    </w:p>
    <w:p w14:paraId="401025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（一）质量管控</w:t>
      </w:r>
    </w:p>
    <w:p w14:paraId="5EA84BD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1.搬迁物资的包装具备防湿、防潮、防雨、防腐及防碰撞等多重功能；分类进行打包，并根据姓名、类别、数量、房间等详细信息贴注标签，以确保物资搬迁过程有序且高效地完成。</w:t>
      </w:r>
    </w:p>
    <w:p w14:paraId="447FF8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2.运输过程中确保物资</w:t>
      </w:r>
      <w:r>
        <w:rPr>
          <w:rFonts w:hint="default" w:ascii="Times New Roman" w:hAnsi="Times New Roman" w:eastAsia="仿宋_GB2312" w:cs="Times New Roman"/>
          <w:b w:val="0"/>
          <w:bCs w:val="0"/>
          <w:color w:val="auto"/>
          <w:sz w:val="32"/>
          <w:szCs w:val="32"/>
          <w:highlight w:val="none"/>
          <w:lang w:val="en-US" w:eastAsia="zh-CN"/>
        </w:rPr>
        <w:t>妥善固定，以防颠簸或急刹车导致移位、损坏。提前规划车辆行驶路线，确保运输过程平稳、安全、可控。</w:t>
      </w:r>
      <w:r>
        <w:rPr>
          <w:rFonts w:hint="default" w:ascii="Times New Roman" w:hAnsi="Times New Roman" w:eastAsia="楷体" w:cs="Times New Roman"/>
          <w:b w:val="0"/>
          <w:bCs w:val="0"/>
          <w:color w:val="auto"/>
          <w:sz w:val="32"/>
          <w:szCs w:val="32"/>
          <w:highlight w:val="none"/>
          <w:lang w:val="en-US" w:eastAsia="zh-CN"/>
        </w:rPr>
        <w:t xml:space="preserve"> </w:t>
      </w:r>
    </w:p>
    <w:p w14:paraId="3417F8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（二）安全作业</w:t>
      </w:r>
    </w:p>
    <w:p w14:paraId="00D621C5">
      <w:pPr>
        <w:keepNext w:val="0"/>
        <w:keepLines w:val="0"/>
        <w:pageBreakBefore w:val="0"/>
        <w:kinsoku/>
        <w:wordWrap/>
        <w:overflowPunct/>
        <w:topLinePunct w:val="0"/>
        <w:autoSpaceDE/>
        <w:autoSpaceDN/>
        <w:bidi w:val="0"/>
        <w:adjustRightInd/>
        <w:snapToGrid/>
        <w:spacing w:line="579" w:lineRule="exact"/>
        <w:ind w:firstLine="640" w:firstLineChars="200"/>
        <w:rPr>
          <w:rFonts w:hint="default" w:ascii="Times New Roman" w:hAnsi="Times New Roman" w:cs="Times New Roman" w:eastAsiaTheme="minorEastAsia"/>
          <w:highlight w:val="none"/>
          <w:lang w:eastAsia="zh-CN"/>
        </w:rPr>
      </w:pPr>
      <w:r>
        <w:rPr>
          <w:rFonts w:hint="default" w:ascii="Times New Roman" w:hAnsi="Times New Roman" w:eastAsia="仿宋_GB2312" w:cs="Times New Roman"/>
          <w:color w:val="auto"/>
          <w:sz w:val="32"/>
          <w:szCs w:val="32"/>
          <w:highlight w:val="none"/>
          <w:lang w:val="en-US" w:eastAsia="zh-CN"/>
        </w:rPr>
        <w:t>1.作业人员做好安全防护措施，严禁任何违规操作行为。</w:t>
      </w:r>
    </w:p>
    <w:p w14:paraId="0BB3F5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2.严格遵守消防安全规定，严禁吸烟及违规用电；作业完成后，清理现场易燃物品，彻底消除潜在的安全隐患。</w:t>
      </w:r>
    </w:p>
    <w:p w14:paraId="1308C5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（三）责任界定</w:t>
      </w:r>
    </w:p>
    <w:p w14:paraId="485E1DF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因搬迁操作不当或安全防护措施不足造成的安全生产事故由成交人承担责任。</w:t>
      </w:r>
    </w:p>
    <w:p w14:paraId="0134D11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因成交人操作不当导致的物资损坏、设备故障、安全事故，由成交人承担全部维修、更换及赔偿责任。</w:t>
      </w:r>
    </w:p>
    <w:p w14:paraId="09FE23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.成交人需为搬迁全流程购买保险（含货物运输险、第三者责任险）及现场人员人身意外保险，保险责任覆盖服务全周期；未投保导致的一切损失由成交人承担。</w:t>
      </w:r>
    </w:p>
    <w:p w14:paraId="378998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lang w:val="en-US" w:eastAsia="zh-CN"/>
        </w:rPr>
        <w:t>、验收要求</w:t>
      </w:r>
    </w:p>
    <w:p w14:paraId="1A168CD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1.核对物资数量、规格与清单一致，外包装无破损，无污渍、变形、缺失，功能性物资可正常使用。</w:t>
      </w:r>
    </w:p>
    <w:p w14:paraId="2FBC1A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2.大件/重型物资（如</w:t>
      </w:r>
      <w:r>
        <w:rPr>
          <w:rFonts w:hint="eastAsia" w:ascii="Times New Roman" w:hAnsi="Times New Roman" w:eastAsia="仿宋_GB2312" w:cs="Times New Roman"/>
          <w:color w:val="auto"/>
          <w:sz w:val="32"/>
          <w:szCs w:val="32"/>
          <w:highlight w:val="none"/>
          <w:lang w:val="en-US" w:eastAsia="zh-CN"/>
        </w:rPr>
        <w:t>探视</w:t>
      </w:r>
      <w:r>
        <w:rPr>
          <w:rFonts w:hint="default" w:ascii="Times New Roman" w:hAnsi="Times New Roman" w:eastAsia="仿宋_GB2312" w:cs="Times New Roman"/>
          <w:color w:val="auto"/>
          <w:sz w:val="32"/>
          <w:szCs w:val="32"/>
          <w:highlight w:val="none"/>
          <w:lang w:val="en-US" w:eastAsia="zh-CN"/>
        </w:rPr>
        <w:t>岗亭）需专业人员上门搬运，避免暴力操作，若因搬运不当导致设备故障，供应商需免费维修或更换核心部件。</w:t>
      </w:r>
    </w:p>
    <w:p w14:paraId="42C26C3E">
      <w:pPr>
        <w:pStyle w:val="2"/>
        <w:keepNext w:val="0"/>
        <w:keepLines w:val="0"/>
        <w:pageBreakBefore w:val="0"/>
        <w:kinsoku/>
        <w:wordWrap/>
        <w:overflowPunct/>
        <w:topLinePunct w:val="0"/>
        <w:autoSpaceDE/>
        <w:autoSpaceDN/>
        <w:bidi w:val="0"/>
        <w:adjustRightInd/>
        <w:snapToGrid/>
        <w:spacing w:line="579"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3.搬运完成后，同步对接物资质保服务，明确设备安装、调试及后续维修的责任边界，确保售后流程闭环。</w:t>
      </w:r>
    </w:p>
    <w:p w14:paraId="0E351B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lang w:val="en-US" w:eastAsia="zh-CN"/>
        </w:rPr>
        <w:t>、售后服务</w:t>
      </w:r>
    </w:p>
    <w:p w14:paraId="5F9CFD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1.破损赔付：运输或搬迁导致的物资损坏，48小时内提交破损照片及赔付方案。</w:t>
      </w:r>
    </w:p>
    <w:p w14:paraId="4803BB5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2.售后响应：搬迁相关售后问题（如二次搬运、位置调整、功能调试）24小时内响应，48小时内提供解决方案；其他特殊需求可协商上门处理。</w:t>
      </w:r>
    </w:p>
    <w:p w14:paraId="5665CE02">
      <w:pPr>
        <w:pStyle w:val="2"/>
        <w:rPr>
          <w:rFonts w:hint="default"/>
          <w:highlight w:val="none"/>
          <w:lang w:val="en-US" w:eastAsia="zh-CN"/>
        </w:rPr>
      </w:pPr>
    </w:p>
    <w:sectPr>
      <w:footerReference r:id="rId3" w:type="default"/>
      <w:pgSz w:w="11906" w:h="16838"/>
      <w:pgMar w:top="2154" w:right="1587"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946C65-B476-41BE-B2B7-BE402C6750CF}"/>
  </w:font>
  <w:font w:name="Courier New">
    <w:panose1 w:val="02070309020205020404"/>
    <w:charset w:val="01"/>
    <w:family w:val="modern"/>
    <w:pitch w:val="default"/>
    <w:sig w:usb0="E0002AFF" w:usb1="C0007843" w:usb2="00000009" w:usb3="00000000" w:csb0="400001FF" w:csb1="FFFF0000"/>
    <w:embedRegular r:id="rId2" w:fontKey="{77861D4E-6145-4287-B9A2-864C852F3A5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标题 CS)">
    <w:altName w:val="宋体"/>
    <w:panose1 w:val="020B0604020202020204"/>
    <w:charset w:val="86"/>
    <w:family w:val="roman"/>
    <w:pitch w:val="default"/>
    <w:sig w:usb0="00000000" w:usb1="00000000" w:usb2="00000000" w:usb3="00000000" w:csb0="00000000" w:csb1="00000000"/>
  </w:font>
  <w:font w:name="Times New Roman (正文 CS 字体)">
    <w:altName w:val="宋体"/>
    <w:panose1 w:val="020B0604020202020204"/>
    <w:charset w:val="86"/>
    <w:family w:val="roma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7F66E6F4-2EA3-4343-984A-9754CC6879C0}"/>
  </w:font>
  <w:font w:name="楷体">
    <w:panose1 w:val="02010609060101010101"/>
    <w:charset w:val="86"/>
    <w:family w:val="auto"/>
    <w:pitch w:val="default"/>
    <w:sig w:usb0="800002BF" w:usb1="38CF7CFA" w:usb2="00000016" w:usb3="00000000" w:csb0="00040001" w:csb1="00000000"/>
    <w:embedRegular r:id="rId4" w:fontKey="{B3A4D537-BD9B-4A09-887B-D04958586227}"/>
  </w:font>
  <w:font w:name="仿宋_GB2312">
    <w:panose1 w:val="02010609030101010101"/>
    <w:charset w:val="86"/>
    <w:family w:val="auto"/>
    <w:pitch w:val="default"/>
    <w:sig w:usb0="00000001" w:usb1="080E0000" w:usb2="00000000" w:usb3="00000000" w:csb0="00040000" w:csb1="00000000"/>
    <w:embedRegular r:id="rId5" w:fontKey="{2257318C-CF76-4225-AE24-021E0A5ACB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9AD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206F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E206F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zVmNTdhYTY0Yzg5YzA2MjdhMGI4MDYzYjJiMzIifQ=="/>
  </w:docVars>
  <w:rsids>
    <w:rsidRoot w:val="5F4D7C33"/>
    <w:rsid w:val="032B5C7F"/>
    <w:rsid w:val="04716F0A"/>
    <w:rsid w:val="06001A13"/>
    <w:rsid w:val="06892A71"/>
    <w:rsid w:val="07C438A7"/>
    <w:rsid w:val="0B075E60"/>
    <w:rsid w:val="0B9571A8"/>
    <w:rsid w:val="0C962E3A"/>
    <w:rsid w:val="0C9E7A07"/>
    <w:rsid w:val="0EE759D9"/>
    <w:rsid w:val="0F743008"/>
    <w:rsid w:val="0F926EC2"/>
    <w:rsid w:val="10C36ACB"/>
    <w:rsid w:val="13276ABF"/>
    <w:rsid w:val="15612C23"/>
    <w:rsid w:val="16A221E5"/>
    <w:rsid w:val="176013D8"/>
    <w:rsid w:val="17A92B7F"/>
    <w:rsid w:val="199066CD"/>
    <w:rsid w:val="1A756CC1"/>
    <w:rsid w:val="1A887B1E"/>
    <w:rsid w:val="1C173684"/>
    <w:rsid w:val="1D295B40"/>
    <w:rsid w:val="1EC009BF"/>
    <w:rsid w:val="1FB055C2"/>
    <w:rsid w:val="1FB259F9"/>
    <w:rsid w:val="211148E6"/>
    <w:rsid w:val="22E3718E"/>
    <w:rsid w:val="242F6611"/>
    <w:rsid w:val="24E3580A"/>
    <w:rsid w:val="28097BD0"/>
    <w:rsid w:val="28397580"/>
    <w:rsid w:val="291210E0"/>
    <w:rsid w:val="29564161"/>
    <w:rsid w:val="2AF91DFA"/>
    <w:rsid w:val="2C364D8E"/>
    <w:rsid w:val="31195265"/>
    <w:rsid w:val="322E5A0F"/>
    <w:rsid w:val="32EF30A8"/>
    <w:rsid w:val="335141BB"/>
    <w:rsid w:val="35D008BF"/>
    <w:rsid w:val="37C935C7"/>
    <w:rsid w:val="38706B58"/>
    <w:rsid w:val="39AF79B9"/>
    <w:rsid w:val="39B81026"/>
    <w:rsid w:val="3B6248AA"/>
    <w:rsid w:val="3CAA0C2A"/>
    <w:rsid w:val="3D514FAE"/>
    <w:rsid w:val="3E106F80"/>
    <w:rsid w:val="3FFC05A4"/>
    <w:rsid w:val="41E73751"/>
    <w:rsid w:val="42394016"/>
    <w:rsid w:val="426C3369"/>
    <w:rsid w:val="46670BC7"/>
    <w:rsid w:val="47214FD6"/>
    <w:rsid w:val="47C84E06"/>
    <w:rsid w:val="48876F85"/>
    <w:rsid w:val="48BB1493"/>
    <w:rsid w:val="49A80935"/>
    <w:rsid w:val="49BD0EEA"/>
    <w:rsid w:val="4A4B4A3F"/>
    <w:rsid w:val="4B293D09"/>
    <w:rsid w:val="4D5F335B"/>
    <w:rsid w:val="4DCA4F7B"/>
    <w:rsid w:val="4DEB46AF"/>
    <w:rsid w:val="4FCC3F86"/>
    <w:rsid w:val="502618E8"/>
    <w:rsid w:val="51A328CF"/>
    <w:rsid w:val="53851AB9"/>
    <w:rsid w:val="539E4AB7"/>
    <w:rsid w:val="54657584"/>
    <w:rsid w:val="56BD0946"/>
    <w:rsid w:val="591A2837"/>
    <w:rsid w:val="5B466B83"/>
    <w:rsid w:val="5CD72BF1"/>
    <w:rsid w:val="5D0161ED"/>
    <w:rsid w:val="5F253EC3"/>
    <w:rsid w:val="5F4D7C33"/>
    <w:rsid w:val="606E5142"/>
    <w:rsid w:val="60C256C1"/>
    <w:rsid w:val="621303D1"/>
    <w:rsid w:val="69116635"/>
    <w:rsid w:val="6A6A610D"/>
    <w:rsid w:val="6A7F5866"/>
    <w:rsid w:val="6ACC2BB1"/>
    <w:rsid w:val="6E0E76F2"/>
    <w:rsid w:val="71306040"/>
    <w:rsid w:val="730E294B"/>
    <w:rsid w:val="744369A5"/>
    <w:rsid w:val="74C74487"/>
    <w:rsid w:val="75970A0E"/>
    <w:rsid w:val="77065CBB"/>
    <w:rsid w:val="771633B7"/>
    <w:rsid w:val="77A63889"/>
    <w:rsid w:val="78AD394A"/>
    <w:rsid w:val="7906469D"/>
    <w:rsid w:val="793B3654"/>
    <w:rsid w:val="7BC8247B"/>
    <w:rsid w:val="7EF8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4"/>
    <w:autoRedefine/>
    <w:semiHidden/>
    <w:unhideWhenUsed/>
    <w:qFormat/>
    <w:uiPriority w:val="9"/>
    <w:pPr>
      <w:keepNext/>
      <w:keepLines/>
      <w:outlineLvl w:val="2"/>
    </w:pPr>
    <w:rPr>
      <w:rFonts w:eastAsia="黑体" w:cs="Times New Roman (标题 CS)"/>
      <w:sz w:val="26"/>
      <w:szCs w:val="28"/>
    </w:rPr>
  </w:style>
  <w:style w:type="paragraph" w:styleId="5">
    <w:name w:val="heading 4"/>
    <w:basedOn w:val="3"/>
    <w:next w:val="4"/>
    <w:autoRedefine/>
    <w:unhideWhenUsed/>
    <w:qFormat/>
    <w:uiPriority w:val="9"/>
    <w:pPr>
      <w:outlineLvl w:val="3"/>
    </w:p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szCs w:val="24"/>
    </w:rPr>
  </w:style>
  <w:style w:type="paragraph" w:styleId="4">
    <w:name w:val="Body Text"/>
    <w:basedOn w:val="1"/>
    <w:autoRedefine/>
    <w:unhideWhenUsed/>
    <w:qFormat/>
    <w:uiPriority w:val="0"/>
    <w:pPr>
      <w:spacing w:beforeLines="0" w:afterLines="0"/>
    </w:pPr>
    <w:rPr>
      <w:rFonts w:hint="default"/>
      <w:sz w:val="24"/>
      <w:szCs w:val="24"/>
    </w:rPr>
  </w:style>
  <w:style w:type="paragraph" w:styleId="6">
    <w:name w:val="annotation text"/>
    <w:basedOn w:val="1"/>
    <w:autoRedefine/>
    <w:qFormat/>
    <w:uiPriority w:val="0"/>
    <w:pPr>
      <w:jc w:val="left"/>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3"/>
    <w:autoRedefine/>
    <w:hidden/>
    <w:qFormat/>
    <w:uiPriority w:val="0"/>
    <w:rPr>
      <w:rFonts w:hint="eastAsia" w:asciiTheme="minorHAnsi" w:hAnsiTheme="minorHAnsi" w:eastAsiaTheme="minorEastAsia" w:cstheme="minorBidi"/>
      <w:lang w:val="en-US" w:eastAsia="zh-Hans"/>
    </w:rPr>
  </w:style>
  <w:style w:type="paragraph" w:customStyle="1" w:styleId="13">
    <w:name w:val="Compact"/>
    <w:basedOn w:val="4"/>
    <w:autoRedefine/>
    <w:qFormat/>
    <w:uiPriority w:val="0"/>
    <w:pPr>
      <w:spacing w:before="36" w:beforeAutospacing="0" w:after="36" w:afterAutospacing="0" w:line="360" w:lineRule="auto"/>
      <w:jc w:val="left"/>
    </w:pPr>
    <w:rPr>
      <w:rFonts w:hint="default" w:ascii="Arial" w:hAnsi="Arial" w:eastAsia="宋体" w:cs="Times New Roman (正文 CS 字体)"/>
      <w:kern w:val="0"/>
      <w:sz w:val="24"/>
      <w:szCs w:val="24"/>
      <w:lang w:val="en-US" w:eastAsia="zh-CN" w:bidi="ar"/>
    </w:rPr>
  </w:style>
  <w:style w:type="paragraph" w:customStyle="1" w:styleId="14">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dc705d55-cf0d-4b92-8745-fec66c6bf27a</errorID>
      <errorWord>选</errorWord>
      <group>L1_Word</group>
      <groupName>字词问题</groupName>
      <ability>L2_Typo</ability>
      <abilityName>字词错误</abilityName>
      <candidateList>
        <item>选择</item>
      </candidateList>
      <explain>〈动〉挑选：～对象｜～地点。</explain>
      <paraID>6BDB209B</paraID>
      <start>12</start>
      <end>14</end>
      <status>modified</status>
      <modifiedWord>选择</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5749b-da92-41a6-83d5-c1740cacac5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2710</Words>
  <Characters>2840</Characters>
  <Lines>0</Lines>
  <Paragraphs>0</Paragraphs>
  <TotalTime>1</TotalTime>
  <ScaleCrop>false</ScaleCrop>
  <LinksUpToDate>false</LinksUpToDate>
  <CharactersWithSpaces>2853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2025-09-10T02:18:00Z</dcterms:created>
  <dc:creator>dszb-WPS</dc:creator>
  <cp:lastModifiedBy>Cindy嘉欣</cp:lastModifiedBy>
  <cp:lastPrinted>2025-11-13T07:54:00Z</cp:lastPrinted>
  <dcterms:modified xsi:type="dcterms:W3CDTF">2025-11-27T09:49:56Z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F0D95BC6E1B24533B5E0982EB3152692_13</vt:lpwstr>
  </property>
  <property fmtid="{D5CDD505-2E9C-101B-9397-08002B2CF9AE}" pid="4" name="KSOTemplateDocerSaveRecord">
    <vt:lpwstr>eyJoZGlkIjoiY2RkN2IzZjBlMzVkYjFiM2QwOGY2ZjNjOTA0MWExM2EiLCJ1c2VySWQiOiI1MjQzNjE5NDgifQ==</vt:lpwstr>
  </property>
</Properties>
</file>