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FAA5E">
      <w:pPr>
        <w:jc w:val="right"/>
        <w:rPr>
          <w:rFonts w:eastAsia="黑体"/>
          <w:b/>
          <w:color w:val="auto"/>
          <w:sz w:val="36"/>
          <w:highlight w:val="none"/>
        </w:rPr>
      </w:pPr>
      <w:r>
        <w:rPr>
          <w:rFonts w:hint="eastAsia" w:eastAsia="黑体"/>
          <w:b/>
          <w:color w:val="auto"/>
          <w:sz w:val="28"/>
          <w:highlight w:val="none"/>
        </w:rPr>
        <w:drawing>
          <wp:inline distT="0" distB="0" distL="114300" distR="114300">
            <wp:extent cx="533400" cy="514350"/>
            <wp:effectExtent l="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8"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14:paraId="73F93B4B">
      <w:pPr>
        <w:jc w:val="right"/>
        <w:rPr>
          <w:rFonts w:eastAsia="黑体"/>
          <w:b/>
          <w:color w:val="auto"/>
          <w:sz w:val="36"/>
          <w:highlight w:val="none"/>
        </w:rPr>
      </w:pPr>
    </w:p>
    <w:p w14:paraId="446F840A">
      <w:pPr>
        <w:rPr>
          <w:color w:val="auto"/>
          <w:highlight w:val="none"/>
        </w:rPr>
      </w:pPr>
    </w:p>
    <w:p w14:paraId="6AA4CE8A">
      <w:pPr>
        <w:rPr>
          <w:color w:val="auto"/>
          <w:highlight w:val="none"/>
        </w:rPr>
      </w:pPr>
    </w:p>
    <w:p w14:paraId="4CFEF819">
      <w:pPr>
        <w:rPr>
          <w:color w:val="auto"/>
          <w:highlight w:val="none"/>
        </w:rPr>
      </w:pPr>
    </w:p>
    <w:p w14:paraId="75B56A30">
      <w:pPr>
        <w:jc w:val="center"/>
        <w:rPr>
          <w:rFonts w:ascii="黑体" w:eastAsia="黑体"/>
          <w:b/>
          <w:color w:val="auto"/>
          <w:sz w:val="72"/>
          <w:szCs w:val="32"/>
          <w:highlight w:val="none"/>
        </w:rPr>
      </w:pPr>
      <w:r>
        <w:rPr>
          <w:rFonts w:hint="eastAsia" w:ascii="黑体" w:eastAsia="黑体"/>
          <w:b/>
          <w:color w:val="auto"/>
          <w:sz w:val="72"/>
          <w:szCs w:val="32"/>
          <w:highlight w:val="none"/>
          <w:lang w:eastAsia="zh-CN"/>
        </w:rPr>
        <w:t>国内</w:t>
      </w:r>
      <w:r>
        <w:rPr>
          <w:rFonts w:hint="eastAsia" w:ascii="黑体" w:eastAsia="黑体"/>
          <w:b/>
          <w:color w:val="auto"/>
          <w:sz w:val="72"/>
          <w:szCs w:val="32"/>
          <w:highlight w:val="none"/>
        </w:rPr>
        <w:t>采购</w:t>
      </w:r>
    </w:p>
    <w:p w14:paraId="43F0DA11">
      <w:pPr>
        <w:jc w:val="center"/>
        <w:rPr>
          <w:b/>
          <w:color w:val="auto"/>
          <w:sz w:val="72"/>
          <w:szCs w:val="32"/>
          <w:highlight w:val="none"/>
        </w:rPr>
      </w:pPr>
      <w:r>
        <w:rPr>
          <w:rFonts w:hint="eastAsia" w:ascii="黑体" w:eastAsia="黑体"/>
          <w:b/>
          <w:color w:val="auto"/>
          <w:sz w:val="72"/>
          <w:szCs w:val="32"/>
          <w:highlight w:val="none"/>
        </w:rPr>
        <w:t>公开招标文件</w:t>
      </w:r>
    </w:p>
    <w:p w14:paraId="21905078">
      <w:pPr>
        <w:jc w:val="center"/>
        <w:rPr>
          <w:color w:val="auto"/>
          <w:highlight w:val="none"/>
        </w:rPr>
      </w:pPr>
    </w:p>
    <w:p w14:paraId="2AA4FBC2">
      <w:pPr>
        <w:jc w:val="center"/>
        <w:rPr>
          <w:color w:val="auto"/>
          <w:highlight w:val="none"/>
        </w:rPr>
      </w:pPr>
    </w:p>
    <w:p w14:paraId="4D0619AA">
      <w:pPr>
        <w:rPr>
          <w:color w:val="auto"/>
          <w:highlight w:val="none"/>
        </w:rPr>
      </w:pPr>
    </w:p>
    <w:tbl>
      <w:tblPr>
        <w:tblStyle w:val="19"/>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2B1A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0"/>
            <w:vAlign w:val="center"/>
          </w:tcPr>
          <w:p w14:paraId="3CED22CF">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lang w:eastAsia="zh-CN"/>
              </w:rPr>
            </w:pPr>
            <w:r>
              <w:rPr>
                <w:rFonts w:hint="eastAsia" w:ascii="黑体" w:hAnsi="黑体" w:eastAsia="黑体" w:cs="黑体"/>
                <w:bCs/>
                <w:color w:val="auto"/>
                <w:sz w:val="32"/>
                <w:szCs w:val="24"/>
                <w:highlight w:val="none"/>
                <w:vertAlign w:val="baseline"/>
                <w:lang w:eastAsia="zh-CN"/>
              </w:rPr>
              <w:t>项目名称：</w:t>
            </w:r>
          </w:p>
        </w:tc>
        <w:tc>
          <w:tcPr>
            <w:tcW w:w="6203" w:type="dxa"/>
            <w:noWrap w:val="0"/>
            <w:vAlign w:val="center"/>
          </w:tcPr>
          <w:p w14:paraId="13DFC1A9">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rPr>
            </w:pPr>
            <w:r>
              <w:rPr>
                <w:rFonts w:hint="eastAsia" w:ascii="黑体" w:hAnsi="黑体" w:eastAsia="黑体" w:cs="黑体"/>
                <w:bCs/>
                <w:color w:val="auto"/>
                <w:sz w:val="32"/>
                <w:szCs w:val="24"/>
                <w:highlight w:val="none"/>
                <w:vertAlign w:val="baseline"/>
              </w:rPr>
              <w:t>2025－2026年“幸福加油站一婚姻护航”婚姻家庭辅导项目</w:t>
            </w:r>
          </w:p>
        </w:tc>
      </w:tr>
      <w:tr w14:paraId="4A54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0"/>
            <w:vAlign w:val="center"/>
          </w:tcPr>
          <w:p w14:paraId="3650B0F3">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lang w:eastAsia="zh-CN"/>
              </w:rPr>
            </w:pPr>
            <w:r>
              <w:rPr>
                <w:rFonts w:hint="eastAsia" w:ascii="黑体" w:hAnsi="黑体" w:eastAsia="黑体" w:cs="黑体"/>
                <w:bCs/>
                <w:color w:val="auto"/>
                <w:sz w:val="32"/>
                <w:szCs w:val="24"/>
                <w:highlight w:val="none"/>
                <w:vertAlign w:val="baseline"/>
                <w:lang w:eastAsia="zh-CN"/>
              </w:rPr>
              <w:t>项目编号：</w:t>
            </w:r>
          </w:p>
        </w:tc>
        <w:tc>
          <w:tcPr>
            <w:tcW w:w="6203" w:type="dxa"/>
            <w:noWrap w:val="0"/>
            <w:vAlign w:val="center"/>
          </w:tcPr>
          <w:p w14:paraId="20108C82">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rPr>
            </w:pPr>
            <w:r>
              <w:rPr>
                <w:rFonts w:hint="eastAsia" w:ascii="黑体" w:hAnsi="黑体" w:eastAsia="黑体" w:cs="黑体"/>
                <w:bCs/>
                <w:color w:val="auto"/>
                <w:sz w:val="32"/>
                <w:szCs w:val="24"/>
                <w:highlight w:val="none"/>
                <w:vertAlign w:val="baseline"/>
              </w:rPr>
              <w:t>0832-SFCX25DG064C</w:t>
            </w:r>
          </w:p>
        </w:tc>
      </w:tr>
      <w:tr w14:paraId="6BB9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0"/>
            <w:vAlign w:val="center"/>
          </w:tcPr>
          <w:p w14:paraId="216A793A">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lang w:eastAsia="zh-CN"/>
              </w:rPr>
            </w:pPr>
            <w:r>
              <w:rPr>
                <w:rFonts w:hint="eastAsia" w:ascii="黑体" w:hAnsi="黑体" w:eastAsia="黑体" w:cs="黑体"/>
                <w:bCs/>
                <w:color w:val="auto"/>
                <w:sz w:val="32"/>
                <w:szCs w:val="24"/>
                <w:highlight w:val="none"/>
                <w:vertAlign w:val="baseline"/>
                <w:lang w:eastAsia="zh-CN"/>
              </w:rPr>
              <w:t>采购人：</w:t>
            </w:r>
          </w:p>
        </w:tc>
        <w:tc>
          <w:tcPr>
            <w:tcW w:w="6203" w:type="dxa"/>
            <w:noWrap w:val="0"/>
            <w:vAlign w:val="center"/>
          </w:tcPr>
          <w:p w14:paraId="48FDD833">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rPr>
            </w:pPr>
            <w:r>
              <w:rPr>
                <w:rFonts w:hint="eastAsia" w:ascii="黑体" w:hAnsi="黑体" w:eastAsia="黑体" w:cs="黑体"/>
                <w:bCs/>
                <w:color w:val="auto"/>
                <w:sz w:val="32"/>
                <w:szCs w:val="24"/>
                <w:highlight w:val="none"/>
                <w:vertAlign w:val="baseline"/>
              </w:rPr>
              <w:t>东莞市民政局</w:t>
            </w:r>
          </w:p>
        </w:tc>
      </w:tr>
    </w:tbl>
    <w:p w14:paraId="0A6C258F">
      <w:pPr>
        <w:jc w:val="center"/>
        <w:rPr>
          <w:rFonts w:ascii="黑体" w:eastAsia="黑体"/>
          <w:color w:val="auto"/>
          <w:szCs w:val="21"/>
          <w:highlight w:val="none"/>
        </w:rPr>
      </w:pPr>
    </w:p>
    <w:p w14:paraId="4895D032">
      <w:pPr>
        <w:jc w:val="center"/>
        <w:rPr>
          <w:rFonts w:ascii="黑体" w:eastAsia="黑体"/>
          <w:color w:val="auto"/>
          <w:szCs w:val="21"/>
          <w:highlight w:val="none"/>
        </w:rPr>
      </w:pPr>
    </w:p>
    <w:p w14:paraId="14CB05EB">
      <w:pPr>
        <w:jc w:val="center"/>
        <w:rPr>
          <w:rFonts w:ascii="黑体" w:eastAsia="黑体"/>
          <w:color w:val="auto"/>
          <w:szCs w:val="21"/>
          <w:highlight w:val="none"/>
        </w:rPr>
      </w:pPr>
    </w:p>
    <w:p w14:paraId="750CD7C7">
      <w:pPr>
        <w:jc w:val="center"/>
        <w:rPr>
          <w:rFonts w:ascii="黑体" w:eastAsia="黑体"/>
          <w:color w:val="auto"/>
          <w:szCs w:val="21"/>
          <w:highlight w:val="none"/>
        </w:rPr>
      </w:pPr>
    </w:p>
    <w:p w14:paraId="777C91D8">
      <w:pPr>
        <w:jc w:val="center"/>
        <w:rPr>
          <w:rFonts w:ascii="黑体" w:eastAsia="黑体"/>
          <w:color w:val="auto"/>
          <w:sz w:val="52"/>
          <w:szCs w:val="44"/>
          <w:highlight w:val="none"/>
        </w:rPr>
      </w:pPr>
      <w:r>
        <w:rPr>
          <w:rFonts w:hint="eastAsia" w:ascii="黑体" w:eastAsia="黑体"/>
          <w:color w:val="auto"/>
          <w:sz w:val="52"/>
          <w:szCs w:val="44"/>
          <w:highlight w:val="none"/>
        </w:rPr>
        <w:t>三方诚信招标有限公司</w:t>
      </w:r>
    </w:p>
    <w:p w14:paraId="12795D96">
      <w:pPr>
        <w:pageBreakBefore w:val="0"/>
        <w:kinsoku/>
        <w:topLinePunct w:val="0"/>
        <w:autoSpaceDE/>
        <w:autoSpaceDN/>
        <w:bidi w:val="0"/>
        <w:spacing w:line="360" w:lineRule="auto"/>
        <w:jc w:val="center"/>
        <w:rPr>
          <w:rFonts w:ascii="黑体" w:eastAsia="黑体"/>
          <w:color w:val="auto"/>
          <w:sz w:val="52"/>
          <w:szCs w:val="44"/>
          <w:highlight w:val="none"/>
        </w:rPr>
      </w:pPr>
      <w:r>
        <w:rPr>
          <w:rFonts w:hint="eastAsia" w:ascii="黑体" w:eastAsia="黑体"/>
          <w:color w:val="auto"/>
          <w:sz w:val="52"/>
          <w:szCs w:val="44"/>
          <w:highlight w:val="none"/>
        </w:rPr>
        <w:t>东莞分公司</w:t>
      </w:r>
    </w:p>
    <w:p w14:paraId="01ED3AF1">
      <w:pPr>
        <w:pStyle w:val="16"/>
        <w:pageBreakBefore w:val="0"/>
        <w:kinsoku/>
        <w:topLinePunct w:val="0"/>
        <w:autoSpaceDE/>
        <w:autoSpaceDN/>
        <w:bidi w:val="0"/>
        <w:spacing w:line="360" w:lineRule="auto"/>
        <w:rPr>
          <w:color w:val="auto"/>
          <w:sz w:val="32"/>
          <w:szCs w:val="32"/>
          <w:highlight w:val="none"/>
        </w:rPr>
        <w:sectPr>
          <w:headerReference r:id="rId4" w:type="default"/>
          <w:pgSz w:w="11906" w:h="16838"/>
          <w:pgMar w:top="1440" w:right="1800" w:bottom="1440" w:left="1800" w:header="708" w:footer="708" w:gutter="0"/>
          <w:pgNumType w:start="0"/>
          <w:cols w:space="708" w:num="1"/>
          <w:titlePg/>
          <w:docGrid w:type="lines" w:linePitch="360" w:charSpace="0"/>
        </w:sectPr>
      </w:pPr>
    </w:p>
    <w:p w14:paraId="0E134F80">
      <w:pPr>
        <w:pStyle w:val="16"/>
        <w:pageBreakBefore w:val="0"/>
        <w:kinsoku/>
        <w:topLinePunct w:val="0"/>
        <w:autoSpaceDE/>
        <w:autoSpaceDN/>
        <w:bidi w:val="0"/>
        <w:spacing w:line="360" w:lineRule="auto"/>
        <w:ind w:left="0" w:leftChars="0" w:firstLine="0" w:firstLineChars="0"/>
        <w:jc w:val="center"/>
        <w:rPr>
          <w:rFonts w:hint="eastAsia"/>
          <w:b/>
          <w:bCs/>
          <w:color w:val="auto"/>
          <w:sz w:val="44"/>
          <w:szCs w:val="44"/>
          <w:highlight w:val="none"/>
          <w:lang w:val="en-US" w:eastAsia="zh-CN"/>
        </w:rPr>
      </w:pPr>
      <w:r>
        <w:rPr>
          <w:rFonts w:hint="eastAsia"/>
          <w:b/>
          <w:bCs/>
          <w:color w:val="auto"/>
          <w:sz w:val="44"/>
          <w:szCs w:val="44"/>
          <w:highlight w:val="none"/>
          <w:lang w:val="en-US" w:eastAsia="zh-CN"/>
        </w:rPr>
        <w:t>温馨提示</w:t>
      </w:r>
    </w:p>
    <w:p w14:paraId="4601C09A">
      <w:pPr>
        <w:pStyle w:val="26"/>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0" w:firstLineChars="0"/>
        <w:jc w:val="left"/>
        <w:textAlignment w:val="auto"/>
        <w:rPr>
          <w:rFonts w:hint="eastAsia" w:ascii="宋体" w:hAnsi="宋体" w:eastAsia="宋体" w:cstheme="minorBidi"/>
          <w:color w:val="auto"/>
          <w:sz w:val="22"/>
          <w:szCs w:val="22"/>
          <w:highlight w:val="none"/>
          <w:lang w:val="en-US" w:eastAsia="zh-CN" w:bidi="ar-SA"/>
        </w:rPr>
      </w:pPr>
      <w:r>
        <w:rPr>
          <w:rFonts w:hint="eastAsia" w:ascii="宋体" w:hAnsi="宋体" w:eastAsia="宋体" w:cstheme="minorBidi"/>
          <w:color w:val="auto"/>
          <w:sz w:val="22"/>
          <w:szCs w:val="22"/>
          <w:highlight w:val="none"/>
          <w:lang w:val="en-US" w:eastAsia="zh-CN" w:bidi="ar-SA"/>
        </w:rPr>
        <w:t>1、投标截止时间一到，本公司不接收任何投标文件，因此，请按规定时间到达。</w:t>
      </w:r>
    </w:p>
    <w:p w14:paraId="004B2135">
      <w:pPr>
        <w:pStyle w:val="26"/>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0" w:firstLineChars="0"/>
        <w:jc w:val="left"/>
        <w:textAlignment w:val="auto"/>
        <w:rPr>
          <w:rFonts w:hint="eastAsia" w:ascii="宋体" w:hAnsi="宋体" w:eastAsia="宋体" w:cstheme="minorBidi"/>
          <w:color w:val="auto"/>
          <w:sz w:val="22"/>
          <w:szCs w:val="22"/>
          <w:highlight w:val="none"/>
          <w:lang w:val="en-US" w:eastAsia="zh-CN" w:bidi="ar-SA"/>
        </w:rPr>
      </w:pPr>
      <w:r>
        <w:rPr>
          <w:rFonts w:hint="eastAsia" w:ascii="宋体" w:hAnsi="宋体" w:eastAsia="宋体" w:cstheme="minorBidi"/>
          <w:color w:val="auto"/>
          <w:sz w:val="22"/>
          <w:szCs w:val="22"/>
          <w:highlight w:val="none"/>
          <w:lang w:val="en-US" w:eastAsia="zh-CN" w:bidi="ar-SA"/>
        </w:rPr>
        <w:t>2、请正确填写《开标一览表》。多包项目请仔细检查包组号，包组号跟包组名称必须一致。</w:t>
      </w:r>
    </w:p>
    <w:p w14:paraId="3B93FA17">
      <w:pPr>
        <w:pStyle w:val="26"/>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0" w:firstLineChars="0"/>
        <w:jc w:val="left"/>
        <w:textAlignment w:val="auto"/>
        <w:rPr>
          <w:rFonts w:hint="eastAsia" w:ascii="宋体" w:hAnsi="宋体" w:eastAsia="宋体" w:cstheme="minorBidi"/>
          <w:color w:val="auto"/>
          <w:sz w:val="22"/>
          <w:szCs w:val="22"/>
          <w:highlight w:val="none"/>
          <w:lang w:val="en-US" w:eastAsia="zh-CN" w:bidi="ar-SA"/>
        </w:rPr>
      </w:pPr>
      <w:r>
        <w:rPr>
          <w:rFonts w:hint="eastAsia" w:ascii="宋体" w:hAnsi="宋体" w:eastAsia="宋体" w:cstheme="minorBidi"/>
          <w:color w:val="auto"/>
          <w:sz w:val="22"/>
          <w:szCs w:val="22"/>
          <w:highlight w:val="none"/>
          <w:lang w:val="en-US" w:eastAsia="zh-CN" w:bidi="ar-SA"/>
        </w:rPr>
        <w:t>3、请仔细检查投标文件是否已按招标文件盖章、签名(或盖私章)、签署日期。</w:t>
      </w:r>
    </w:p>
    <w:p w14:paraId="6C2CEBE0">
      <w:pPr>
        <w:pStyle w:val="26"/>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0" w:firstLineChars="0"/>
        <w:jc w:val="left"/>
        <w:textAlignment w:val="auto"/>
        <w:rPr>
          <w:rFonts w:hint="eastAsia" w:ascii="宋体" w:hAnsi="宋体" w:eastAsia="宋体" w:cstheme="minorBidi"/>
          <w:color w:val="auto"/>
          <w:sz w:val="22"/>
          <w:szCs w:val="22"/>
          <w:highlight w:val="none"/>
          <w:lang w:val="en-US" w:eastAsia="zh-CN" w:bidi="ar-SA"/>
        </w:rPr>
      </w:pPr>
      <w:r>
        <w:rPr>
          <w:rFonts w:hint="eastAsia" w:ascii="宋体" w:hAnsi="宋体" w:eastAsia="宋体" w:cstheme="minorBidi"/>
          <w:color w:val="auto"/>
          <w:sz w:val="22"/>
          <w:szCs w:val="22"/>
          <w:highlight w:val="none"/>
          <w:lang w:val="en-US" w:eastAsia="zh-CN" w:bidi="ar-SA"/>
        </w:rPr>
        <w:t>4、加★号的条款必须一一响应。</w:t>
      </w:r>
    </w:p>
    <w:p w14:paraId="6F173414">
      <w:pPr>
        <w:pStyle w:val="26"/>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0" w:firstLineChars="0"/>
        <w:jc w:val="left"/>
        <w:textAlignment w:val="auto"/>
        <w:rPr>
          <w:rFonts w:hint="eastAsia" w:ascii="宋体" w:hAnsi="宋体" w:eastAsia="宋体" w:cstheme="minorBidi"/>
          <w:color w:val="auto"/>
          <w:sz w:val="22"/>
          <w:szCs w:val="22"/>
          <w:highlight w:val="none"/>
          <w:lang w:val="en-US" w:eastAsia="zh-CN" w:bidi="ar-SA"/>
        </w:rPr>
      </w:pPr>
      <w:r>
        <w:rPr>
          <w:rFonts w:hint="eastAsia" w:ascii="宋体" w:hAnsi="宋体" w:eastAsia="宋体" w:cstheme="minorBidi"/>
          <w:color w:val="auto"/>
          <w:sz w:val="22"/>
          <w:szCs w:val="22"/>
          <w:highlight w:val="none"/>
          <w:lang w:val="en-US" w:eastAsia="zh-CN" w:bidi="ar-SA"/>
        </w:rPr>
        <w:t>5、投标文件应按顺序编制页码。</w:t>
      </w:r>
    </w:p>
    <w:p w14:paraId="2175ED68">
      <w:pPr>
        <w:pStyle w:val="26"/>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0" w:firstLineChars="0"/>
        <w:jc w:val="left"/>
        <w:textAlignment w:val="auto"/>
        <w:rPr>
          <w:rFonts w:hint="eastAsia" w:ascii="宋体" w:hAnsi="宋体" w:eastAsia="宋体" w:cstheme="minorBidi"/>
          <w:color w:val="auto"/>
          <w:sz w:val="22"/>
          <w:szCs w:val="22"/>
          <w:highlight w:val="none"/>
          <w:lang w:val="en-US" w:eastAsia="zh-CN" w:bidi="ar-SA"/>
        </w:rPr>
      </w:pPr>
      <w:r>
        <w:rPr>
          <w:rFonts w:hint="eastAsia" w:ascii="宋体" w:hAnsi="宋体" w:eastAsia="宋体" w:cstheme="minorBidi"/>
          <w:color w:val="auto"/>
          <w:sz w:val="22"/>
          <w:szCs w:val="22"/>
          <w:highlight w:val="none"/>
          <w:lang w:val="en-US" w:eastAsia="zh-CN" w:bidi="ar-SA"/>
        </w:rPr>
        <w:t>6、我公司为采购代理机构，不对潜在投标人获取招标文件时提交的相关资料的真实性负责，如潜在投标人发现相关资料被盗用、复制、伪造、变造等情况，应遵循法律途径解决，追究侵权者责任。</w:t>
      </w:r>
    </w:p>
    <w:p w14:paraId="0CCA58C2">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stheme="minorBidi"/>
          <w:color w:val="auto"/>
          <w:sz w:val="22"/>
          <w:szCs w:val="22"/>
          <w:highlight w:val="none"/>
          <w:lang w:val="en-US" w:eastAsia="zh-CN" w:bidi="ar-SA"/>
        </w:rPr>
      </w:pPr>
    </w:p>
    <w:p w14:paraId="5D47F31E">
      <w:pPr>
        <w:keepNext w:val="0"/>
        <w:keepLines w:val="0"/>
        <w:pageBreakBefore w:val="0"/>
        <w:widowControl/>
        <w:tabs>
          <w:tab w:val="left" w:pos="709"/>
        </w:tabs>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stheme="minorBidi"/>
          <w:b/>
          <w:bCs/>
          <w:i w:val="0"/>
          <w:iCs w:val="0"/>
          <w:color w:val="auto"/>
          <w:sz w:val="22"/>
          <w:szCs w:val="22"/>
          <w:highlight w:val="none"/>
          <w:lang w:val="en-US" w:eastAsia="zh-CN" w:bidi="ar-SA"/>
        </w:rPr>
      </w:pPr>
    </w:p>
    <w:p w14:paraId="35E3287F">
      <w:pPr>
        <w:keepNext w:val="0"/>
        <w:keepLines w:val="0"/>
        <w:pageBreakBefore w:val="0"/>
        <w:widowControl/>
        <w:tabs>
          <w:tab w:val="left" w:pos="709"/>
        </w:tabs>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stheme="minorBidi"/>
          <w:b/>
          <w:bCs/>
          <w:i w:val="0"/>
          <w:iCs w:val="0"/>
          <w:color w:val="auto"/>
          <w:sz w:val="22"/>
          <w:szCs w:val="22"/>
          <w:highlight w:val="none"/>
          <w:lang w:val="en-US" w:eastAsia="zh-CN" w:bidi="ar-SA"/>
        </w:rPr>
      </w:pPr>
      <w:r>
        <w:rPr>
          <w:rFonts w:hint="eastAsia" w:ascii="宋体" w:hAnsi="宋体" w:eastAsia="宋体" w:cstheme="minorBidi"/>
          <w:b/>
          <w:bCs/>
          <w:i w:val="0"/>
          <w:iCs w:val="0"/>
          <w:color w:val="auto"/>
          <w:sz w:val="22"/>
          <w:szCs w:val="22"/>
          <w:highlight w:val="none"/>
          <w:lang w:val="en-US" w:eastAsia="zh-CN" w:bidi="ar-SA"/>
        </w:rPr>
        <w:t xml:space="preserve"> (本提示内容非招标文件的组成部分，仅为善意提醒。如有不一致，以招标文件为准。)</w:t>
      </w:r>
    </w:p>
    <w:p w14:paraId="5AD58039">
      <w:pPr>
        <w:pageBreakBefore w:val="0"/>
        <w:kinsoku/>
        <w:topLinePunct w:val="0"/>
        <w:autoSpaceDE/>
        <w:autoSpaceDN/>
        <w:bidi w:val="0"/>
        <w:spacing w:line="360" w:lineRule="auto"/>
        <w:rPr>
          <w:rFonts w:hint="eastAsia"/>
          <w:color w:val="auto"/>
          <w:sz w:val="40"/>
          <w:szCs w:val="40"/>
          <w:highlight w:val="none"/>
        </w:rPr>
      </w:pPr>
    </w:p>
    <w:p w14:paraId="15B7E233">
      <w:pPr>
        <w:pageBreakBefore w:val="0"/>
        <w:kinsoku/>
        <w:topLinePunct w:val="0"/>
        <w:autoSpaceDE/>
        <w:autoSpaceDN/>
        <w:bidi w:val="0"/>
        <w:spacing w:line="360" w:lineRule="auto"/>
        <w:rPr>
          <w:rFonts w:hint="eastAsia"/>
          <w:color w:val="auto"/>
          <w:sz w:val="40"/>
          <w:szCs w:val="40"/>
          <w:highlight w:val="none"/>
        </w:rPr>
      </w:pPr>
      <w:r>
        <w:rPr>
          <w:rFonts w:hint="eastAsia"/>
          <w:color w:val="auto"/>
          <w:sz w:val="40"/>
          <w:szCs w:val="40"/>
          <w:highlight w:val="none"/>
        </w:rPr>
        <w:br w:type="page"/>
      </w:r>
    </w:p>
    <w:p w14:paraId="49A84604">
      <w:pPr>
        <w:pStyle w:val="16"/>
        <w:pageBreakBefore w:val="0"/>
        <w:kinsoku/>
        <w:topLinePunct w:val="0"/>
        <w:autoSpaceDE/>
        <w:autoSpaceDN/>
        <w:bidi w:val="0"/>
        <w:spacing w:line="360" w:lineRule="auto"/>
        <w:ind w:left="0" w:leftChars="0" w:firstLine="0" w:firstLineChars="0"/>
        <w:jc w:val="center"/>
        <w:rPr>
          <w:color w:val="auto"/>
          <w:sz w:val="40"/>
          <w:szCs w:val="40"/>
          <w:highlight w:val="none"/>
        </w:rPr>
      </w:pPr>
      <w:r>
        <w:rPr>
          <w:rFonts w:hint="eastAsia"/>
          <w:color w:val="auto"/>
          <w:sz w:val="40"/>
          <w:szCs w:val="40"/>
          <w:highlight w:val="none"/>
        </w:rPr>
        <w:t>目录</w:t>
      </w:r>
    </w:p>
    <w:p w14:paraId="3D528E83">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_Toc20722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第一部分 投标邀请</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_Toc20722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E06A839">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_Toc13903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投标邀请书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_Toc13903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F57034F">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_Toc857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第二部分 相关资料表格</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_Toc857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835ECD5">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_Toc17481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附表一：投标资料表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_Toc17481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8FB0A2C">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_Toc27394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附表二：商务技术评分及价格权重表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_Toc27394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F501715">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_Toc21802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第三部分 用户需求书</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_Toc21802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F711150">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_Toc27370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第四部分 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_Toc27370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51D33852">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_Toc8045 </w:instrText>
      </w:r>
      <w:r>
        <w:rPr>
          <w:rFonts w:hint="eastAsia" w:ascii="宋体" w:hAnsi="宋体" w:eastAsia="宋体" w:cs="宋体"/>
          <w:b w:val="0"/>
          <w:bCs w:val="0"/>
          <w:color w:val="auto"/>
          <w:sz w:val="21"/>
          <w:szCs w:val="21"/>
          <w:highlight w:val="none"/>
        </w:rPr>
        <w:fldChar w:fldCharType="separate"/>
      </w:r>
      <w:r>
        <w:rPr>
          <w:rFonts w:hint="default" w:ascii="宋体" w:hAnsi="宋体" w:eastAsia="宋体" w:cs="宋体"/>
          <w:b w:val="0"/>
          <w:bCs w:val="0"/>
          <w:color w:val="auto"/>
          <w:sz w:val="21"/>
          <w:szCs w:val="21"/>
          <w:highlight w:val="none"/>
        </w:rPr>
        <w:t xml:space="preserve">一、 </w:t>
      </w:r>
      <w:r>
        <w:rPr>
          <w:rFonts w:hint="eastAsia" w:ascii="宋体" w:hAnsi="宋体" w:eastAsia="宋体" w:cs="宋体"/>
          <w:b w:val="0"/>
          <w:bCs w:val="0"/>
          <w:color w:val="auto"/>
          <w:sz w:val="21"/>
          <w:szCs w:val="21"/>
          <w:highlight w:val="none"/>
        </w:rPr>
        <w:t>说明</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_Toc8045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F0273DE">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_Toc2381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1.适用范围</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_Toc2381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D8C7660">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_Toc15203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2.定义</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_Toc15203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3E0CBAF7">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_Toc1072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3.货物和服务</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_Toc1072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0624BF8">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_Toc16909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4.投标费用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_Toc16909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18</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7CE946E">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_Toc24409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5.知识产权</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_Toc24409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18</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CCAF79E">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_Toc25530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6.关于联合体投标</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_Toc25530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18</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1543891">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_Toc24312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7.关于分支机构投标</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_Toc24312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9C5C00E">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_Toc15504 </w:instrText>
      </w:r>
      <w:r>
        <w:rPr>
          <w:rFonts w:hint="eastAsia" w:ascii="宋体" w:hAnsi="宋体" w:eastAsia="宋体" w:cs="宋体"/>
          <w:b w:val="0"/>
          <w:bCs w:val="0"/>
          <w:color w:val="auto"/>
          <w:sz w:val="21"/>
          <w:szCs w:val="21"/>
          <w:highlight w:val="none"/>
        </w:rPr>
        <w:fldChar w:fldCharType="separate"/>
      </w:r>
      <w:r>
        <w:rPr>
          <w:rFonts w:hint="default" w:ascii="宋体" w:hAnsi="宋体" w:eastAsia="宋体" w:cs="宋体"/>
          <w:b w:val="0"/>
          <w:bCs w:val="0"/>
          <w:color w:val="auto"/>
          <w:sz w:val="21"/>
          <w:szCs w:val="21"/>
          <w:highlight w:val="none"/>
        </w:rPr>
        <w:t xml:space="preserve">二、 </w:t>
      </w:r>
      <w:r>
        <w:rPr>
          <w:rFonts w:hint="eastAsia" w:ascii="宋体" w:hAnsi="宋体" w:eastAsia="宋体" w:cs="宋体"/>
          <w:b w:val="0"/>
          <w:bCs w:val="0"/>
          <w:color w:val="auto"/>
          <w:sz w:val="21"/>
          <w:szCs w:val="21"/>
          <w:highlight w:val="none"/>
        </w:rPr>
        <w:t>招标文件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_Toc15504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56AF647">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_Toc15490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8.招标文件的组成</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_Toc15490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EEB431B">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_Toc7789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9.招标文件的澄清或修改</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_Toc7789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3D88937A">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_Toc3992 </w:instrText>
      </w:r>
      <w:r>
        <w:rPr>
          <w:rFonts w:hint="eastAsia" w:ascii="宋体" w:hAnsi="宋体" w:eastAsia="宋体" w:cs="宋体"/>
          <w:b w:val="0"/>
          <w:bCs w:val="0"/>
          <w:color w:val="auto"/>
          <w:sz w:val="21"/>
          <w:szCs w:val="21"/>
          <w:highlight w:val="none"/>
        </w:rPr>
        <w:fldChar w:fldCharType="separate"/>
      </w:r>
      <w:r>
        <w:rPr>
          <w:rFonts w:hint="default" w:ascii="宋体" w:hAnsi="宋体" w:eastAsia="宋体" w:cs="宋体"/>
          <w:b w:val="0"/>
          <w:bCs w:val="0"/>
          <w:color w:val="auto"/>
          <w:sz w:val="21"/>
          <w:szCs w:val="21"/>
          <w:highlight w:val="none"/>
        </w:rPr>
        <w:t xml:space="preserve">三、 </w:t>
      </w:r>
      <w:r>
        <w:rPr>
          <w:rFonts w:hint="eastAsia" w:ascii="宋体" w:hAnsi="宋体" w:eastAsia="宋体" w:cs="宋体"/>
          <w:b w:val="0"/>
          <w:bCs w:val="0"/>
          <w:color w:val="auto"/>
          <w:sz w:val="21"/>
          <w:szCs w:val="21"/>
          <w:highlight w:val="none"/>
        </w:rPr>
        <w:t>投标文件的编制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_Toc3992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C76C93D">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_Toc708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10.投标文件的语言及度量衡单位</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_Toc708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FF858F8">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_Toc29420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11.投标文件的组成</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_Toc29420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0D74DC1F">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_Toc11356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12.投标文件编制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_Toc11356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887AC0E">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_Toc28034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13.投标报价说明</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_Toc28034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73DBD51">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_Toc34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14.投标人所提供的服务或货物的证明文件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_Toc34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D05F8BE">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_Toc10940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15.★投标有效期</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_Toc10940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90F0902">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_Toc5483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16.★投标保证金</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_Toc5483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4954E3B">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_Toc8216 </w:instrText>
      </w:r>
      <w:r>
        <w:rPr>
          <w:rFonts w:hint="eastAsia" w:ascii="宋体" w:hAnsi="宋体" w:eastAsia="宋体" w:cs="宋体"/>
          <w:b w:val="0"/>
          <w:bCs w:val="0"/>
          <w:color w:val="auto"/>
          <w:sz w:val="21"/>
          <w:szCs w:val="21"/>
          <w:highlight w:val="none"/>
        </w:rPr>
        <w:fldChar w:fldCharType="separate"/>
      </w:r>
      <w:r>
        <w:rPr>
          <w:rFonts w:hint="default" w:ascii="宋体" w:hAnsi="宋体" w:eastAsia="宋体" w:cs="宋体"/>
          <w:b w:val="0"/>
          <w:bCs w:val="0"/>
          <w:color w:val="auto"/>
          <w:sz w:val="21"/>
          <w:szCs w:val="21"/>
          <w:highlight w:val="none"/>
        </w:rPr>
        <w:t xml:space="preserve">四、 </w:t>
      </w:r>
      <w:r>
        <w:rPr>
          <w:rFonts w:hint="eastAsia" w:ascii="宋体" w:hAnsi="宋体" w:eastAsia="宋体" w:cs="宋体"/>
          <w:b w:val="0"/>
          <w:bCs w:val="0"/>
          <w:color w:val="auto"/>
          <w:sz w:val="21"/>
          <w:szCs w:val="21"/>
          <w:highlight w:val="none"/>
        </w:rPr>
        <w:t>投标文件的递交</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_Toc8216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9FDAE3D">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_Toc16724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17.投标文件的装订，签署，密封和标记</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_Toc16724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616350F">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_Toc30088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18.迟交的投标文件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_Toc30088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37BEBD1E">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_Toc15912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19.投标样品</w:t>
      </w:r>
      <w:r>
        <w:rPr>
          <w:rFonts w:hint="eastAsia" w:ascii="宋体" w:hAnsi="宋体" w:eastAsia="宋体" w:cs="宋体"/>
          <w:b w:val="0"/>
          <w:bCs w:val="0"/>
          <w:color w:val="auto"/>
          <w:sz w:val="21"/>
          <w:szCs w:val="21"/>
          <w:highlight w:val="none"/>
          <w:lang w:eastAsia="zh-CN"/>
        </w:rPr>
        <w:t>、投标演示</w:t>
      </w:r>
      <w:r>
        <w:rPr>
          <w:rFonts w:hint="eastAsia" w:ascii="宋体" w:hAnsi="宋体" w:eastAsia="宋体" w:cs="宋体"/>
          <w:b w:val="0"/>
          <w:bCs w:val="0"/>
          <w:color w:val="auto"/>
          <w:sz w:val="21"/>
          <w:szCs w:val="21"/>
          <w:highlight w:val="none"/>
        </w:rPr>
        <w:t>（如</w:t>
      </w:r>
      <w:r>
        <w:rPr>
          <w:rFonts w:hint="eastAsia" w:ascii="宋体" w:hAnsi="宋体" w:eastAsia="宋体" w:cs="宋体"/>
          <w:b w:val="0"/>
          <w:bCs w:val="0"/>
          <w:color w:val="auto"/>
          <w:sz w:val="21"/>
          <w:szCs w:val="21"/>
          <w:highlight w:val="none"/>
          <w:lang w:eastAsia="zh-CN"/>
        </w:rPr>
        <w:t>有要求</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_Toc15912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98C7C79">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_Toc28098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20.投标截止期</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_Toc28098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D595D43">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_Toc22260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21.投标文件的补充、修改与撤回</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_Toc22260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64FADBD">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_Toc13835 </w:instrText>
      </w:r>
      <w:r>
        <w:rPr>
          <w:rFonts w:hint="eastAsia" w:ascii="宋体" w:hAnsi="宋体" w:eastAsia="宋体" w:cs="宋体"/>
          <w:b w:val="0"/>
          <w:bCs w:val="0"/>
          <w:color w:val="auto"/>
          <w:sz w:val="21"/>
          <w:szCs w:val="21"/>
          <w:highlight w:val="none"/>
        </w:rPr>
        <w:fldChar w:fldCharType="separate"/>
      </w:r>
      <w:r>
        <w:rPr>
          <w:rFonts w:hint="default" w:ascii="宋体" w:hAnsi="宋体" w:eastAsia="宋体" w:cs="宋体"/>
          <w:b w:val="0"/>
          <w:bCs w:val="0"/>
          <w:color w:val="auto"/>
          <w:sz w:val="21"/>
          <w:szCs w:val="21"/>
          <w:highlight w:val="none"/>
        </w:rPr>
        <w:t xml:space="preserve">五、 </w:t>
      </w:r>
      <w:r>
        <w:rPr>
          <w:rFonts w:hint="eastAsia" w:ascii="宋体" w:hAnsi="宋体" w:eastAsia="宋体" w:cs="宋体"/>
          <w:b w:val="0"/>
          <w:bCs w:val="0"/>
          <w:color w:val="auto"/>
          <w:sz w:val="21"/>
          <w:szCs w:val="21"/>
          <w:highlight w:val="none"/>
        </w:rPr>
        <w:t>开标与评标</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_Toc13835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7F9FBDB">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_Toc174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22.开标</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_Toc174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FFE6EFF">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_Toc318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23.评标委员会及评标方法</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_Toc318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C3A8732">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_Toc21911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24.评审原则及评标过程的保密</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_Toc21911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26</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E07DA5A">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_Toc12318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25.投标文件的初审</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_Toc12318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26</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3E61FB0F">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_Toc19657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26.商务、技术、价格评审（具体评审项目详见投标资料表）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_Toc19657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28</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86F978E">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_Toc6456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27.优惠政策</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_Toc6456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F9C94D3">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_Toc5898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28.纪律和保密事项</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_Toc5898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706CC51">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_Toc21732 </w:instrText>
      </w:r>
      <w:r>
        <w:rPr>
          <w:rFonts w:hint="eastAsia" w:ascii="宋体" w:hAnsi="宋体" w:eastAsia="宋体" w:cs="宋体"/>
          <w:b w:val="0"/>
          <w:bCs w:val="0"/>
          <w:color w:val="auto"/>
          <w:sz w:val="21"/>
          <w:szCs w:val="21"/>
          <w:highlight w:val="none"/>
        </w:rPr>
        <w:fldChar w:fldCharType="separate"/>
      </w:r>
      <w:r>
        <w:rPr>
          <w:rFonts w:hint="default" w:ascii="宋体" w:hAnsi="宋体" w:eastAsia="宋体" w:cs="宋体"/>
          <w:b w:val="0"/>
          <w:bCs w:val="0"/>
          <w:color w:val="auto"/>
          <w:sz w:val="21"/>
          <w:szCs w:val="21"/>
          <w:highlight w:val="none"/>
        </w:rPr>
        <w:t xml:space="preserve">六、 </w:t>
      </w:r>
      <w:r>
        <w:rPr>
          <w:rFonts w:hint="eastAsia" w:ascii="宋体" w:hAnsi="宋体" w:eastAsia="宋体" w:cs="宋体"/>
          <w:b w:val="0"/>
          <w:bCs w:val="0"/>
          <w:color w:val="auto"/>
          <w:sz w:val="21"/>
          <w:szCs w:val="21"/>
          <w:highlight w:val="none"/>
        </w:rPr>
        <w:t>授予合同</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_Toc21732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0CCC2EE6">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_Toc4954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29.合同授予标准</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_Toc4954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EB2C145">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_Toc22043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30.发布采购结果</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_Toc22043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CEF0863">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_Toc8411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31.合同的签订与履行</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_Toc8411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C6A4B7F">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_Toc8004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32.履约保证金</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_Toc8004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00031A1">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_Toc5276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eastAsia="zh-CN"/>
        </w:rPr>
        <w:t>七</w:t>
      </w:r>
      <w:r>
        <w:rPr>
          <w:rFonts w:hint="default"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rPr>
        <w:t>其他</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_Toc5276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2C37615">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_Toc19434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35.招标文件的解释权</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_Toc19434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3D07CDBD">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_Toc12226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第五部分 合同格式（仅供参考）</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_Toc12226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6234C61">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_Toc19043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合同格式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_Toc19043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18B91B5">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_Toc15795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第六部分  附件－投标文件格式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_Toc15795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38</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67E5A19">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_Toc6425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附件1.投标文件目录</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_Toc6425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38</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04575C27">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_Toc10771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附件1-1评分标准索引表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_Toc10771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3C70F7B">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_Toc1045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附件2.投标书格式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_Toc1045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DC041FB">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_Toc11248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附件3.开标一览表格式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_Toc11248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1E2A58A">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_Toc15530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附件4.投标分项报价表格式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_Toc15530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0A32007D">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_Toc13261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附件5.法定代表人证明书格式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_Toc13261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883625F">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_Toc19428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附件6.法定代表人授权书格式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_Toc19428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5437A98">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_Toc24266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附件7.资格申明</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_Toc24266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5337CE1">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_Toc22915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附件8.营业执照</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_Toc22915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46</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411D001">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_Toc16457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附件9.相关资质证明文件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_Toc16457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1C1E6C7">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_Toc29591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附件10.商务条款偏离表格式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_Toc29591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48</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E463F3B">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_Toc7552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附件11.</w:t>
      </w:r>
      <w:r>
        <w:rPr>
          <w:rFonts w:hint="eastAsia" w:ascii="宋体" w:hAnsi="宋体" w:eastAsia="宋体" w:cs="宋体"/>
          <w:b w:val="0"/>
          <w:bCs w:val="0"/>
          <w:color w:val="auto"/>
          <w:sz w:val="21"/>
          <w:szCs w:val="21"/>
          <w:highlight w:val="none"/>
          <w:lang w:eastAsia="zh-CN"/>
        </w:rPr>
        <w:t>技术条款</w:t>
      </w:r>
      <w:r>
        <w:rPr>
          <w:rFonts w:hint="eastAsia" w:ascii="宋体" w:hAnsi="宋体" w:eastAsia="宋体" w:cs="宋体"/>
          <w:b w:val="0"/>
          <w:bCs w:val="0"/>
          <w:color w:val="auto"/>
          <w:sz w:val="21"/>
          <w:szCs w:val="21"/>
          <w:highlight w:val="none"/>
        </w:rPr>
        <w:t>偏离表格式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_Toc7552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B25CD41">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_Toc9275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附件12.重要技术参数（▲）响应表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_Toc9275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7CE9E2A">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_Toc19767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附件13.业绩表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_Toc19767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47E5027">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_Toc20567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附件14.项目实施方案格式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_Toc20567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7E21A5E">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_Toc2677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附件15.实施本项目的有关人员资料表格式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_Toc2677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4A8F9228">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_Toc27215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附件16.投标货物说明一览表格式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_Toc27215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BB3DA65">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_Toc22034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附件17.在经营活动中没有重大违法记录的书面声明格式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_Toc22034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2BF791D">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_Toc21744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val="en-US" w:eastAsia="zh-CN"/>
        </w:rPr>
        <w:t>第七部分 附件-开标文件格式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_Toc21744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327C575">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_Toc21573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val="en-US" w:eastAsia="zh-CN"/>
        </w:rPr>
        <w:t>第八部分 附件-其他文件格式（如有需求）</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_Toc21573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72E6BDB">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_Toc15531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.联合体共同投标协议书（可选）</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_Toc15531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57</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55590C1F">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_Toc137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.履约担保函</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_Toc137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59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0462E0D">
      <w:pPr>
        <w:pStyle w:val="8"/>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660"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_Toc8346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附件</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.获取招标文件登记表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_Toc8346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61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10ED7F7C">
      <w:pPr>
        <w:pStyle w:val="13"/>
        <w:keepNext w:val="0"/>
        <w:keepLines w:val="0"/>
        <w:pageBreakBefore w:val="0"/>
        <w:widowControl/>
        <w:tabs>
          <w:tab w:val="right" w:leader="dot" w:pos="8306"/>
          <w:tab w:val="clear" w:pos="8296"/>
        </w:tabs>
        <w:kinsoku/>
        <w:wordWrap/>
        <w:overflowPunct/>
        <w:topLinePunct w:val="0"/>
        <w:autoSpaceDE/>
        <w:autoSpaceDN/>
        <w:bidi w:val="0"/>
        <w:adjustRightInd/>
        <w:snapToGrid/>
        <w:spacing w:after="0" w:line="240" w:lineRule="auto"/>
        <w:ind w:left="0" w:leftChars="0"/>
        <w:jc w:val="left"/>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rPr>
        <w:fldChar w:fldCharType="end"/>
      </w:r>
      <w:r>
        <w:rPr>
          <w:rFonts w:hint="eastAsia" w:ascii="宋体" w:hAnsi="宋体" w:eastAsia="宋体" w:cs="宋体"/>
          <w:color w:val="auto"/>
          <w:szCs w:val="21"/>
          <w:highlight w:val="none"/>
        </w:rPr>
        <w:br w:type="page"/>
      </w:r>
    </w:p>
    <w:p w14:paraId="3163C60F">
      <w:pPr>
        <w:pStyle w:val="3"/>
        <w:pageBreakBefore w:val="0"/>
        <w:kinsoku/>
        <w:topLinePunct w:val="0"/>
        <w:autoSpaceDE/>
        <w:autoSpaceDN/>
        <w:bidi w:val="0"/>
        <w:spacing w:before="0" w:after="0" w:line="360" w:lineRule="auto"/>
        <w:rPr>
          <w:rFonts w:asciiTheme="majorHAnsi" w:hAnsiTheme="majorHAnsi" w:eastAsiaTheme="majorEastAsia" w:cstheme="majorBidi"/>
          <w:b/>
          <w:bCs/>
          <w:color w:val="auto"/>
          <w:sz w:val="28"/>
          <w:szCs w:val="28"/>
          <w:highlight w:val="none"/>
        </w:rPr>
      </w:pPr>
      <w:bookmarkStart w:id="0" w:name="_Toc20722"/>
      <w:r>
        <w:rPr>
          <w:rFonts w:hint="eastAsia" w:asciiTheme="majorHAnsi" w:hAnsiTheme="majorHAnsi" w:eastAsiaTheme="majorEastAsia" w:cstheme="majorBidi"/>
          <w:b/>
          <w:bCs/>
          <w:color w:val="auto"/>
          <w:sz w:val="28"/>
          <w:szCs w:val="28"/>
          <w:highlight w:val="none"/>
        </w:rPr>
        <w:t>第一部分 投标邀请</w:t>
      </w:r>
      <w:bookmarkEnd w:id="0"/>
    </w:p>
    <w:p w14:paraId="378CCFD0">
      <w:pPr>
        <w:pStyle w:val="4"/>
        <w:pageBreakBefore w:val="0"/>
        <w:kinsoku/>
        <w:topLinePunct w:val="0"/>
        <w:autoSpaceDE/>
        <w:autoSpaceDN/>
        <w:bidi w:val="0"/>
        <w:spacing w:before="0" w:after="0" w:line="360" w:lineRule="auto"/>
        <w:jc w:val="center"/>
        <w:rPr>
          <w:rFonts w:ascii="宋体" w:hAnsi="宋体" w:eastAsia="宋体" w:cs="宋体"/>
          <w:color w:val="auto"/>
          <w:highlight w:val="none"/>
        </w:rPr>
      </w:pPr>
      <w:bookmarkStart w:id="1" w:name="_Toc13903"/>
      <w:r>
        <w:rPr>
          <w:rFonts w:hint="eastAsia" w:ascii="宋体" w:hAnsi="宋体" w:eastAsia="宋体" w:cs="宋体"/>
          <w:color w:val="auto"/>
          <w:highlight w:val="none"/>
        </w:rPr>
        <w:t>投标邀请书</w:t>
      </w:r>
      <w:bookmarkEnd w:id="1"/>
    </w:p>
    <w:p w14:paraId="1E2491F2">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三方诚信招标有限公司东莞分公司</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）受</w:t>
      </w:r>
      <w:r>
        <w:rPr>
          <w:rFonts w:hint="eastAsia" w:ascii="宋体" w:hAnsi="宋体" w:eastAsia="宋体"/>
          <w:b/>
          <w:color w:val="auto"/>
          <w:sz w:val="21"/>
          <w:szCs w:val="21"/>
          <w:highlight w:val="none"/>
          <w:u w:val="single"/>
        </w:rPr>
        <w:t>东莞市民政局</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）委托，</w:t>
      </w:r>
      <w:r>
        <w:rPr>
          <w:rFonts w:hint="eastAsia" w:ascii="宋体" w:hAnsi="宋体" w:eastAsia="宋体"/>
          <w:color w:val="auto"/>
          <w:sz w:val="21"/>
          <w:szCs w:val="21"/>
          <w:highlight w:val="none"/>
        </w:rPr>
        <w:t>现</w:t>
      </w:r>
      <w:r>
        <w:rPr>
          <w:rFonts w:ascii="宋体" w:hAnsi="宋体" w:eastAsia="宋体"/>
          <w:color w:val="auto"/>
          <w:sz w:val="21"/>
          <w:szCs w:val="21"/>
          <w:highlight w:val="none"/>
        </w:rPr>
        <w:t>就</w:t>
      </w:r>
      <w:r>
        <w:rPr>
          <w:rFonts w:hint="eastAsia" w:ascii="宋体" w:hAnsi="宋体" w:eastAsia="宋体"/>
          <w:b w:val="0"/>
          <w:bCs/>
          <w:color w:val="auto"/>
          <w:sz w:val="21"/>
          <w:szCs w:val="21"/>
          <w:highlight w:val="none"/>
          <w:u w:val="single"/>
        </w:rPr>
        <w:t>2025－2026年“幸福加油站一婚姻护航”婚姻家庭辅导项目</w:t>
      </w:r>
      <w:r>
        <w:rPr>
          <w:rFonts w:hint="eastAsia" w:ascii="宋体" w:hAnsi="宋体" w:eastAsia="宋体"/>
          <w:b w:val="0"/>
          <w:bCs/>
          <w:color w:val="auto"/>
          <w:sz w:val="21"/>
          <w:szCs w:val="21"/>
          <w:highlight w:val="none"/>
        </w:rPr>
        <w:t>（采购项目编号：</w:t>
      </w:r>
      <w:r>
        <w:rPr>
          <w:rFonts w:hint="eastAsia" w:ascii="宋体" w:hAnsi="宋体" w:eastAsia="宋体"/>
          <w:b w:val="0"/>
          <w:bCs/>
          <w:color w:val="auto"/>
          <w:sz w:val="21"/>
          <w:szCs w:val="21"/>
          <w:highlight w:val="none"/>
          <w:u w:val="single"/>
        </w:rPr>
        <w:t>0832-SFCX25DG064C</w:t>
      </w:r>
      <w:r>
        <w:rPr>
          <w:rFonts w:hint="eastAsia" w:ascii="宋体" w:hAnsi="宋体" w:eastAsia="宋体"/>
          <w:color w:val="auto"/>
          <w:sz w:val="21"/>
          <w:szCs w:val="21"/>
          <w:highlight w:val="none"/>
        </w:rPr>
        <w:t>）</w:t>
      </w:r>
      <w:r>
        <w:rPr>
          <w:rFonts w:hint="eastAsia" w:ascii="宋体" w:hAnsi="宋体" w:eastAsia="宋体" w:cs="Times New Roman"/>
          <w:color w:val="auto"/>
          <w:sz w:val="21"/>
          <w:szCs w:val="21"/>
          <w:highlight w:val="none"/>
        </w:rPr>
        <w:t>进行国内公开招标采购</w:t>
      </w:r>
      <w:r>
        <w:rPr>
          <w:rFonts w:hint="eastAsia" w:ascii="宋体" w:hAnsi="宋体" w:eastAsia="宋体"/>
          <w:color w:val="auto"/>
          <w:sz w:val="21"/>
          <w:szCs w:val="21"/>
          <w:highlight w:val="none"/>
        </w:rPr>
        <w:t>，欢迎符合招标文件要求的国内投标人参加投标</w:t>
      </w:r>
      <w:r>
        <w:rPr>
          <w:rFonts w:ascii="宋体" w:hAnsi="宋体" w:eastAsia="宋体"/>
          <w:color w:val="auto"/>
          <w:sz w:val="21"/>
          <w:szCs w:val="21"/>
          <w:highlight w:val="none"/>
        </w:rPr>
        <w:t>。有关事项如下：</w:t>
      </w:r>
    </w:p>
    <w:p w14:paraId="0455DA6A">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b/>
          <w:color w:val="auto"/>
          <w:sz w:val="21"/>
          <w:szCs w:val="21"/>
          <w:highlight w:val="none"/>
        </w:rPr>
      </w:pPr>
    </w:p>
    <w:p w14:paraId="25AE2106">
      <w:pPr>
        <w:keepNext w:val="0"/>
        <w:keepLines w:val="0"/>
        <w:pageBreakBefore w:val="0"/>
        <w:widowControl/>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一、招标项目的名称、用途、简要技术要求或者招标项目的性质</w:t>
      </w:r>
    </w:p>
    <w:p w14:paraId="19B5B5AA">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b w:val="0"/>
          <w:bCs/>
          <w:color w:val="auto"/>
          <w:sz w:val="21"/>
          <w:szCs w:val="21"/>
          <w:highlight w:val="none"/>
        </w:rPr>
      </w:pPr>
      <w:r>
        <w:rPr>
          <w:rFonts w:hint="eastAsia" w:ascii="宋体" w:hAnsi="宋体" w:eastAsia="宋体"/>
          <w:color w:val="auto"/>
          <w:sz w:val="21"/>
          <w:szCs w:val="21"/>
          <w:highlight w:val="none"/>
        </w:rPr>
        <w:t>1、项目内容：</w:t>
      </w:r>
      <w:r>
        <w:rPr>
          <w:rFonts w:hint="eastAsia" w:ascii="宋体" w:hAnsi="宋体" w:eastAsia="宋体"/>
          <w:b w:val="0"/>
          <w:bCs/>
          <w:color w:val="auto"/>
          <w:sz w:val="21"/>
          <w:szCs w:val="21"/>
          <w:highlight w:val="none"/>
          <w:u w:val="single"/>
        </w:rPr>
        <w:t>2025－2026年“幸福加油站一婚姻护航”婚姻家庭辅导项目</w:t>
      </w:r>
      <w:r>
        <w:rPr>
          <w:rFonts w:hint="eastAsia" w:ascii="宋体" w:hAnsi="宋体" w:eastAsia="宋体"/>
          <w:b w:val="0"/>
          <w:bCs/>
          <w:color w:val="auto"/>
          <w:sz w:val="21"/>
          <w:szCs w:val="21"/>
          <w:highlight w:val="none"/>
        </w:rPr>
        <w:t>采购一项，预算：</w:t>
      </w:r>
      <w:r>
        <w:rPr>
          <w:rFonts w:hint="eastAsia" w:ascii="宋体" w:hAnsi="宋体" w:eastAsia="宋体"/>
          <w:b w:val="0"/>
          <w:bCs/>
          <w:color w:val="auto"/>
          <w:sz w:val="21"/>
          <w:szCs w:val="21"/>
          <w:highlight w:val="none"/>
          <w:u w:val="single"/>
          <w:lang w:val="en-US" w:eastAsia="zh-CN"/>
        </w:rPr>
        <w:t>596</w:t>
      </w:r>
      <w:r>
        <w:rPr>
          <w:rFonts w:hint="eastAsia" w:ascii="宋体" w:hAnsi="宋体" w:eastAsia="宋体"/>
          <w:b w:val="0"/>
          <w:bCs/>
          <w:color w:val="auto"/>
          <w:sz w:val="21"/>
          <w:szCs w:val="21"/>
          <w:highlight w:val="none"/>
          <w:u w:val="single"/>
        </w:rPr>
        <w:t>,</w:t>
      </w:r>
      <w:r>
        <w:rPr>
          <w:rFonts w:hint="eastAsia" w:ascii="宋体" w:hAnsi="宋体" w:eastAsia="宋体"/>
          <w:b w:val="0"/>
          <w:bCs/>
          <w:color w:val="auto"/>
          <w:sz w:val="21"/>
          <w:szCs w:val="21"/>
          <w:highlight w:val="none"/>
          <w:u w:val="single"/>
          <w:lang w:val="en-US" w:eastAsia="zh-CN"/>
        </w:rPr>
        <w:t>380</w:t>
      </w:r>
      <w:r>
        <w:rPr>
          <w:rFonts w:hint="eastAsia" w:ascii="宋体" w:hAnsi="宋体" w:eastAsia="宋体"/>
          <w:b w:val="0"/>
          <w:bCs/>
          <w:color w:val="auto"/>
          <w:sz w:val="21"/>
          <w:szCs w:val="21"/>
          <w:highlight w:val="none"/>
          <w:u w:val="single"/>
        </w:rPr>
        <w:t>.00</w:t>
      </w:r>
      <w:r>
        <w:rPr>
          <w:rFonts w:hint="eastAsia" w:ascii="宋体" w:hAnsi="宋体" w:eastAsia="宋体"/>
          <w:b w:val="0"/>
          <w:bCs/>
          <w:color w:val="auto"/>
          <w:sz w:val="21"/>
          <w:szCs w:val="21"/>
          <w:highlight w:val="none"/>
        </w:rPr>
        <w:t>元。</w:t>
      </w:r>
    </w:p>
    <w:p w14:paraId="2B09189A">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theme="minorBidi"/>
          <w:color w:val="auto"/>
          <w:sz w:val="21"/>
          <w:szCs w:val="21"/>
          <w:highlight w:val="none"/>
          <w:lang w:val="en-US" w:eastAsia="zh-CN" w:bidi="ar-SA"/>
        </w:rPr>
      </w:pPr>
      <w:r>
        <w:rPr>
          <w:rFonts w:hint="eastAsia" w:ascii="宋体" w:hAnsi="宋体" w:eastAsia="宋体" w:cstheme="minorBidi"/>
          <w:color w:val="auto"/>
          <w:sz w:val="21"/>
          <w:szCs w:val="21"/>
          <w:highlight w:val="none"/>
          <w:lang w:val="en-US" w:eastAsia="zh-CN" w:bidi="ar-SA"/>
        </w:rPr>
        <w:t>2、本项目不接受联合体投标。</w:t>
      </w:r>
    </w:p>
    <w:p w14:paraId="24C37C2C">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、简要技术要求或招标项目的性质：详细内容请参阅招标文件第三部分《用户需求书》。</w:t>
      </w:r>
    </w:p>
    <w:p w14:paraId="0C04F05A">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b/>
          <w:color w:val="auto"/>
          <w:sz w:val="21"/>
          <w:szCs w:val="21"/>
          <w:highlight w:val="none"/>
        </w:rPr>
      </w:pPr>
    </w:p>
    <w:p w14:paraId="4DE17E21">
      <w:pPr>
        <w:keepNext w:val="0"/>
        <w:keepLines w:val="0"/>
        <w:pageBreakBefore w:val="0"/>
        <w:widowControl/>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二、</w:t>
      </w:r>
      <w:r>
        <w:rPr>
          <w:rFonts w:hint="eastAsia" w:ascii="宋体" w:hAnsi="宋体" w:eastAsia="宋体"/>
          <w:b/>
          <w:color w:val="auto"/>
          <w:sz w:val="21"/>
          <w:szCs w:val="21"/>
          <w:highlight w:val="none"/>
          <w:lang w:eastAsia="zh-CN"/>
        </w:rPr>
        <w:t>申请人的</w:t>
      </w:r>
      <w:r>
        <w:rPr>
          <w:rFonts w:hint="eastAsia" w:ascii="宋体" w:hAnsi="宋体" w:eastAsia="宋体"/>
          <w:b/>
          <w:color w:val="auto"/>
          <w:sz w:val="21"/>
          <w:szCs w:val="21"/>
          <w:highlight w:val="none"/>
        </w:rPr>
        <w:t>资格要求</w:t>
      </w:r>
    </w:p>
    <w:p w14:paraId="7CC21375">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1.投标供应商应具备《政府采购法》第二十二条规定的条件，提供下列材料：</w:t>
      </w:r>
    </w:p>
    <w:p w14:paraId="22182A6C">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390B438D">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2）有依法缴纳税收和社会保障资金的良好记录：提供投标截止日前6个月内任意1个月依法缴纳税收和社会保障资金的相关材料。如依法免税或不需要缴纳社会保障资金的</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提供相应证明材料。</w:t>
      </w:r>
    </w:p>
    <w:p w14:paraId="62FC6B3A">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3）具有良好的商业信誉和健全的财务会计制度</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提供</w:t>
      </w:r>
      <w:r>
        <w:rPr>
          <w:rFonts w:hint="eastAsia" w:ascii="宋体" w:hAnsi="宋体" w:eastAsia="宋体"/>
          <w:color w:val="auto"/>
          <w:sz w:val="21"/>
          <w:szCs w:val="21"/>
          <w:highlight w:val="none"/>
          <w:lang w:val="en-US" w:eastAsia="zh-CN"/>
        </w:rPr>
        <w:t>2024年度</w:t>
      </w:r>
      <w:r>
        <w:rPr>
          <w:rFonts w:hint="eastAsia" w:ascii="宋体" w:hAnsi="宋体" w:eastAsia="宋体"/>
          <w:color w:val="auto"/>
          <w:sz w:val="21"/>
          <w:szCs w:val="21"/>
          <w:highlight w:val="none"/>
        </w:rPr>
        <w:t>财务状况报告或基本开户行出具的资信证明。</w:t>
      </w:r>
    </w:p>
    <w:p w14:paraId="233500C3">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4）履行合同所必</w:t>
      </w:r>
      <w:r>
        <w:rPr>
          <w:rFonts w:hint="eastAsia" w:ascii="宋体" w:hAnsi="宋体" w:eastAsia="宋体"/>
          <w:color w:val="auto"/>
          <w:sz w:val="21"/>
          <w:szCs w:val="21"/>
          <w:highlight w:val="none"/>
          <w:lang w:eastAsia="zh-CN"/>
        </w:rPr>
        <w:t>需</w:t>
      </w:r>
      <w:r>
        <w:rPr>
          <w:rFonts w:hint="eastAsia" w:ascii="宋体" w:hAnsi="宋体" w:eastAsia="宋体"/>
          <w:color w:val="auto"/>
          <w:sz w:val="21"/>
          <w:szCs w:val="21"/>
          <w:highlight w:val="none"/>
        </w:rPr>
        <w:t>的设备和专业技术能力：填报设备及专业技术能力情况</w:t>
      </w:r>
      <w:r>
        <w:rPr>
          <w:rFonts w:hint="eastAsia" w:ascii="宋体" w:hAnsi="宋体" w:eastAsia="宋体"/>
          <w:color w:val="auto"/>
          <w:sz w:val="21"/>
          <w:szCs w:val="21"/>
          <w:highlight w:val="none"/>
          <w:lang w:eastAsia="zh-CN"/>
        </w:rPr>
        <w:t>，格式自拟</w:t>
      </w:r>
      <w:r>
        <w:rPr>
          <w:rFonts w:hint="eastAsia" w:ascii="宋体" w:hAnsi="宋体" w:eastAsia="宋体"/>
          <w:color w:val="auto"/>
          <w:sz w:val="21"/>
          <w:szCs w:val="21"/>
          <w:highlight w:val="none"/>
        </w:rPr>
        <w:t>。</w:t>
      </w:r>
    </w:p>
    <w:p w14:paraId="418A6667">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5）参加采购活动前3年内，在经营活动中没有重大违法记录：在经营活动中没有重大违法记录：参照投标</w:t>
      </w:r>
      <w:r>
        <w:rPr>
          <w:rFonts w:hint="eastAsia" w:ascii="宋体" w:hAnsi="宋体" w:eastAsia="宋体"/>
          <w:color w:val="auto"/>
          <w:sz w:val="21"/>
          <w:szCs w:val="21"/>
          <w:highlight w:val="none"/>
          <w:lang w:eastAsia="zh-CN"/>
        </w:rPr>
        <w:t>文件格式相关承诺格式内容</w:t>
      </w:r>
      <w:r>
        <w:rPr>
          <w:rFonts w:hint="eastAsia" w:ascii="宋体" w:hAnsi="宋体" w:eastAsia="宋体"/>
          <w:color w:val="auto"/>
          <w:sz w:val="21"/>
          <w:szCs w:val="21"/>
          <w:highlight w:val="none"/>
        </w:rPr>
        <w:t>。重大违法记录，是指供应商因违法经营受到刑事处罚或者责令停产停业、吊销许可证或者执照、较大数额罚款等行政处罚。</w:t>
      </w:r>
    </w:p>
    <w:p w14:paraId="494F8838">
      <w:pPr>
        <w:keepNext w:val="0"/>
        <w:keepLines w:val="0"/>
        <w:pageBreakBefore w:val="0"/>
        <w:widowControl/>
        <w:kinsoku/>
        <w:wordWrap/>
        <w:overflowPunct/>
        <w:topLinePunct w:val="0"/>
        <w:autoSpaceDE/>
        <w:autoSpaceDN/>
        <w:bidi w:val="0"/>
        <w:adjustRightInd/>
        <w:snapToGrid/>
        <w:spacing w:after="0" w:line="400" w:lineRule="exact"/>
        <w:ind w:firstLine="422" w:firstLineChars="200"/>
        <w:textAlignment w:val="auto"/>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投标人如不能完整提供上述2）-4）项证明资料的，须提供资格申明（参照投标文件格式相关承诺格式内容）。</w:t>
      </w:r>
    </w:p>
    <w:p w14:paraId="5F0AAB12">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信用记录：</w:t>
      </w:r>
      <w:r>
        <w:rPr>
          <w:rFonts w:hint="eastAsia" w:ascii="宋体" w:hAnsi="宋体" w:eastAsia="宋体"/>
          <w:color w:val="auto"/>
          <w:sz w:val="21"/>
          <w:szCs w:val="21"/>
          <w:highlight w:val="none"/>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w:t>
      </w:r>
      <w:r>
        <w:rPr>
          <w:rFonts w:hint="eastAsia" w:ascii="宋体" w:hAnsi="宋体" w:eastAsia="宋体"/>
          <w:color w:val="auto"/>
          <w:sz w:val="21"/>
          <w:szCs w:val="21"/>
          <w:highlight w:val="none"/>
          <w:lang w:val="en-US" w:eastAsia="zh-CN"/>
        </w:rPr>
        <w:t xml:space="preserve"> </w:t>
      </w:r>
    </w:p>
    <w:p w14:paraId="7471401B">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供应商必须符合法律、行政法规规定的其他条件：单位负责人为同一人或者存在直接控股、管理关系的不同供应商，不得同时参加本采购项目投标。为本项目提供整体设计、规范编制或者项目管理、监理、检测等服务的供应商，不得再参与本项目投标。</w:t>
      </w:r>
    </w:p>
    <w:p w14:paraId="5BC2F622">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eastAsia="宋体"/>
          <w:color w:val="auto"/>
          <w:highlight w:val="none"/>
          <w:lang w:val="en-US" w:eastAsia="zh-CN"/>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lang w:eastAsia="zh-CN"/>
        </w:rPr>
        <w:t>本项目的特定资格要求：无。</w:t>
      </w:r>
    </w:p>
    <w:p w14:paraId="1FA422D2">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b/>
          <w:color w:val="auto"/>
          <w:sz w:val="21"/>
          <w:szCs w:val="21"/>
          <w:highlight w:val="none"/>
        </w:rPr>
      </w:pPr>
    </w:p>
    <w:p w14:paraId="08126958">
      <w:pPr>
        <w:keepNext w:val="0"/>
        <w:keepLines w:val="0"/>
        <w:pageBreakBefore w:val="0"/>
        <w:widowControl/>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三、项目公示时间、</w:t>
      </w:r>
      <w:r>
        <w:rPr>
          <w:rFonts w:hint="eastAsia" w:ascii="宋体" w:hAnsi="宋体" w:eastAsia="宋体"/>
          <w:b/>
          <w:color w:val="auto"/>
          <w:sz w:val="21"/>
          <w:szCs w:val="21"/>
          <w:highlight w:val="none"/>
          <w:lang w:eastAsia="zh-CN"/>
        </w:rPr>
        <w:t>招标文件领购</w:t>
      </w:r>
      <w:r>
        <w:rPr>
          <w:rFonts w:hint="eastAsia" w:ascii="宋体" w:hAnsi="宋体" w:eastAsia="宋体"/>
          <w:b/>
          <w:color w:val="auto"/>
          <w:sz w:val="21"/>
          <w:szCs w:val="21"/>
          <w:highlight w:val="none"/>
        </w:rPr>
        <w:t>时间、地点、方式</w:t>
      </w:r>
    </w:p>
    <w:p w14:paraId="7D45A237">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1、项目公示时间：</w:t>
      </w:r>
      <w:r>
        <w:rPr>
          <w:rFonts w:hint="eastAsia" w:ascii="宋体" w:hAnsi="宋体" w:eastAsia="宋体"/>
          <w:color w:val="auto"/>
          <w:sz w:val="21"/>
          <w:szCs w:val="21"/>
          <w:highlight w:val="none"/>
          <w:lang w:eastAsia="zh-CN"/>
        </w:rPr>
        <w:t>2025年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18</w:t>
      </w:r>
      <w:r>
        <w:rPr>
          <w:rFonts w:hint="eastAsia" w:ascii="宋体" w:hAnsi="宋体" w:eastAsia="宋体"/>
          <w:color w:val="auto"/>
          <w:sz w:val="21"/>
          <w:szCs w:val="21"/>
          <w:highlight w:val="none"/>
        </w:rPr>
        <w:t>日起至</w:t>
      </w:r>
      <w:r>
        <w:rPr>
          <w:rFonts w:hint="eastAsia" w:ascii="宋体" w:hAnsi="宋体" w:eastAsia="宋体"/>
          <w:color w:val="auto"/>
          <w:sz w:val="21"/>
          <w:szCs w:val="21"/>
          <w:highlight w:val="none"/>
          <w:lang w:eastAsia="zh-CN"/>
        </w:rPr>
        <w:t>2025年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25</w:t>
      </w:r>
      <w:r>
        <w:rPr>
          <w:rFonts w:hint="eastAsia" w:ascii="宋体" w:hAnsi="宋体" w:eastAsia="宋体"/>
          <w:color w:val="auto"/>
          <w:sz w:val="21"/>
          <w:szCs w:val="21"/>
          <w:highlight w:val="none"/>
        </w:rPr>
        <w:t>日。</w:t>
      </w:r>
    </w:p>
    <w:p w14:paraId="1DD24171">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招标文件领购时间：2025年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18</w:t>
      </w:r>
      <w:r>
        <w:rPr>
          <w:rFonts w:hint="eastAsia" w:ascii="宋体" w:hAnsi="宋体" w:eastAsia="宋体"/>
          <w:color w:val="auto"/>
          <w:sz w:val="21"/>
          <w:szCs w:val="21"/>
          <w:highlight w:val="none"/>
        </w:rPr>
        <w:t>日起至</w:t>
      </w:r>
      <w:r>
        <w:rPr>
          <w:rFonts w:hint="eastAsia" w:ascii="宋体" w:hAnsi="宋体" w:eastAsia="宋体"/>
          <w:color w:val="auto"/>
          <w:sz w:val="21"/>
          <w:szCs w:val="21"/>
          <w:highlight w:val="none"/>
          <w:lang w:eastAsia="zh-CN"/>
        </w:rPr>
        <w:t>2025年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25</w:t>
      </w:r>
      <w:r>
        <w:rPr>
          <w:rFonts w:hint="eastAsia" w:ascii="宋体" w:hAnsi="宋体" w:eastAsia="宋体"/>
          <w:color w:val="auto"/>
          <w:sz w:val="21"/>
          <w:szCs w:val="21"/>
          <w:highlight w:val="none"/>
        </w:rPr>
        <w:t>日</w:t>
      </w:r>
      <w:r>
        <w:rPr>
          <w:rFonts w:hint="eastAsia" w:ascii="宋体" w:hAnsi="宋体" w:eastAsia="宋体"/>
          <w:color w:val="auto"/>
          <w:sz w:val="21"/>
          <w:szCs w:val="21"/>
          <w:highlight w:val="none"/>
          <w:lang w:eastAsia="zh-CN"/>
        </w:rPr>
        <w:t>，每天上午9:00至12:00，</w:t>
      </w:r>
      <w:bookmarkStart w:id="175" w:name="_GoBack"/>
      <w:bookmarkEnd w:id="175"/>
      <w:r>
        <w:rPr>
          <w:rFonts w:hint="eastAsia" w:ascii="宋体" w:hAnsi="宋体" w:eastAsia="宋体"/>
          <w:color w:val="auto"/>
          <w:sz w:val="21"/>
          <w:szCs w:val="21"/>
          <w:highlight w:val="none"/>
          <w:lang w:eastAsia="zh-CN"/>
        </w:rPr>
        <w:t>14:30至17:30（北京时间，法定节假日除外）</w:t>
      </w:r>
    </w:p>
    <w:p w14:paraId="74B22FB8">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lang w:eastAsia="zh-CN"/>
        </w:rPr>
        <w:t>方式：线上领购</w:t>
      </w:r>
    </w:p>
    <w:p w14:paraId="347CD79C">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（1）进入“三方诚信招标东莞分公司”微信公众号或微信小程序，按照流程指引进行报名及缴费；如技术故障或操作困难等原因无法线上领购，可在规定时间至采购代理机构联系地址现场领购；</w:t>
      </w:r>
    </w:p>
    <w:p w14:paraId="5D573EB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须提前准备如下材料：《营业执照》复印件（加盖公章）或《事业单位法人证书》复印件（加盖公章）或其他主体证明复印件（加盖公章），自然人参加投标须提供自然人的身份证明材料；分支机构投标的，须提供总公司和分公司营业执照副本复印件，以及总公司出具给分支机构的授权书；</w:t>
      </w:r>
    </w:p>
    <w:p w14:paraId="143B88A8">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（3）须在领购时间内进行报名，逾期报名无效，任何投标人因逾期报名或误缴费用而导致报名无效的，自行承担相应责任；</w:t>
      </w:r>
    </w:p>
    <w:p w14:paraId="27731333">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（4）领购价格：人民币300元整；领购咨询人：陈小姐；领购咨询电话：0769-21682660，21682600。</w:t>
      </w:r>
    </w:p>
    <w:p w14:paraId="71B800F8">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b/>
          <w:color w:val="auto"/>
          <w:sz w:val="21"/>
          <w:szCs w:val="21"/>
          <w:highlight w:val="none"/>
        </w:rPr>
      </w:pPr>
    </w:p>
    <w:p w14:paraId="7722B067">
      <w:pPr>
        <w:keepNext w:val="0"/>
        <w:keepLines w:val="0"/>
        <w:pageBreakBefore w:val="0"/>
        <w:widowControl/>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四、投标截止时间、开标时间及地点</w:t>
      </w:r>
    </w:p>
    <w:p w14:paraId="377A6D75">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1、递交投标文件时间：</w:t>
      </w:r>
      <w:r>
        <w:rPr>
          <w:rFonts w:hint="eastAsia" w:ascii="宋体" w:hAnsi="宋体" w:eastAsia="宋体"/>
          <w:bCs/>
          <w:color w:val="auto"/>
          <w:sz w:val="21"/>
          <w:szCs w:val="21"/>
          <w:highlight w:val="none"/>
          <w:lang w:eastAsia="zh-CN"/>
        </w:rPr>
        <w:t>2025年</w:t>
      </w:r>
      <w:r>
        <w:rPr>
          <w:rFonts w:hint="eastAsia" w:ascii="宋体" w:hAnsi="宋体" w:eastAsia="宋体"/>
          <w:bCs/>
          <w:color w:val="auto"/>
          <w:sz w:val="21"/>
          <w:szCs w:val="21"/>
          <w:highlight w:val="none"/>
          <w:lang w:val="en-US" w:eastAsia="zh-CN"/>
        </w:rPr>
        <w:t>9</w:t>
      </w:r>
      <w:r>
        <w:rPr>
          <w:rFonts w:hint="eastAsia" w:ascii="宋体" w:hAnsi="宋体" w:eastAsia="宋体"/>
          <w:bCs/>
          <w:color w:val="auto"/>
          <w:sz w:val="21"/>
          <w:szCs w:val="21"/>
          <w:highlight w:val="none"/>
        </w:rPr>
        <w:t>月</w:t>
      </w: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rPr>
        <w:t>日</w:t>
      </w:r>
      <w:r>
        <w:rPr>
          <w:rFonts w:hint="eastAsia" w:ascii="宋体" w:hAnsi="宋体" w:eastAsia="宋体"/>
          <w:bCs/>
          <w:color w:val="auto"/>
          <w:sz w:val="21"/>
          <w:szCs w:val="21"/>
          <w:highlight w:val="none"/>
          <w:lang w:val="en-US" w:eastAsia="zh-CN"/>
        </w:rPr>
        <w:t xml:space="preserve"> 14</w:t>
      </w:r>
      <w:r>
        <w:rPr>
          <w:rFonts w:hint="eastAsia" w:ascii="宋体" w:hAnsi="宋体" w:eastAsia="宋体"/>
          <w:bCs/>
          <w:color w:val="auto"/>
          <w:sz w:val="21"/>
          <w:szCs w:val="21"/>
          <w:highlight w:val="none"/>
        </w:rPr>
        <w:t>：00～</w:t>
      </w:r>
      <w:r>
        <w:rPr>
          <w:rFonts w:hint="eastAsia" w:ascii="宋体" w:hAnsi="宋体" w:eastAsia="宋体"/>
          <w:bCs/>
          <w:color w:val="auto"/>
          <w:sz w:val="21"/>
          <w:szCs w:val="21"/>
          <w:highlight w:val="none"/>
          <w:lang w:val="en-US" w:eastAsia="zh-CN"/>
        </w:rPr>
        <w:t>14</w:t>
      </w:r>
      <w:r>
        <w:rPr>
          <w:rFonts w:hint="eastAsia" w:ascii="宋体" w:hAnsi="宋体" w:eastAsia="宋体"/>
          <w:bCs/>
          <w:color w:val="auto"/>
          <w:sz w:val="21"/>
          <w:szCs w:val="21"/>
          <w:highlight w:val="none"/>
        </w:rPr>
        <w:t>：30。</w:t>
      </w:r>
    </w:p>
    <w:p w14:paraId="5DDCD1DB">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w:t>
      </w:r>
      <w:r>
        <w:rPr>
          <w:rFonts w:ascii="宋体" w:hAnsi="宋体" w:eastAsia="宋体"/>
          <w:bCs/>
          <w:color w:val="auto"/>
          <w:sz w:val="21"/>
          <w:szCs w:val="21"/>
          <w:highlight w:val="none"/>
        </w:rPr>
        <w:t>投标截止</w:t>
      </w:r>
      <w:r>
        <w:rPr>
          <w:rFonts w:hint="eastAsia" w:ascii="宋体" w:hAnsi="宋体" w:eastAsia="宋体"/>
          <w:bCs/>
          <w:color w:val="auto"/>
          <w:sz w:val="21"/>
          <w:szCs w:val="21"/>
          <w:highlight w:val="none"/>
        </w:rPr>
        <w:t>及开标时间：</w:t>
      </w:r>
      <w:r>
        <w:rPr>
          <w:rFonts w:hint="eastAsia" w:ascii="宋体" w:hAnsi="宋体" w:eastAsia="宋体"/>
          <w:bCs/>
          <w:color w:val="auto"/>
          <w:sz w:val="21"/>
          <w:szCs w:val="21"/>
          <w:highlight w:val="none"/>
          <w:lang w:eastAsia="zh-CN"/>
        </w:rPr>
        <w:t>2025年</w:t>
      </w:r>
      <w:r>
        <w:rPr>
          <w:rFonts w:hint="eastAsia" w:ascii="宋体" w:hAnsi="宋体" w:eastAsia="宋体"/>
          <w:bCs/>
          <w:color w:val="auto"/>
          <w:sz w:val="21"/>
          <w:szCs w:val="21"/>
          <w:highlight w:val="none"/>
          <w:lang w:val="en-US" w:eastAsia="zh-CN"/>
        </w:rPr>
        <w:t>9</w:t>
      </w:r>
      <w:r>
        <w:rPr>
          <w:rFonts w:hint="eastAsia" w:ascii="宋体" w:hAnsi="宋体" w:eastAsia="宋体"/>
          <w:bCs/>
          <w:color w:val="auto"/>
          <w:sz w:val="21"/>
          <w:szCs w:val="21"/>
          <w:highlight w:val="none"/>
        </w:rPr>
        <w:t>月</w:t>
      </w: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rPr>
        <w:t>日</w:t>
      </w:r>
      <w:r>
        <w:rPr>
          <w:rFonts w:hint="eastAsia" w:ascii="宋体" w:hAnsi="宋体" w:eastAsia="宋体"/>
          <w:bCs/>
          <w:color w:val="auto"/>
          <w:sz w:val="21"/>
          <w:szCs w:val="21"/>
          <w:highlight w:val="none"/>
          <w:lang w:val="en-US" w:eastAsia="zh-CN"/>
        </w:rPr>
        <w:t xml:space="preserve"> 14</w:t>
      </w:r>
      <w:r>
        <w:rPr>
          <w:rFonts w:hint="eastAsia" w:ascii="宋体" w:hAnsi="宋体" w:eastAsia="宋体"/>
          <w:bCs/>
          <w:color w:val="auto"/>
          <w:sz w:val="21"/>
          <w:szCs w:val="21"/>
          <w:highlight w:val="none"/>
        </w:rPr>
        <w:t>时30分。</w:t>
      </w:r>
    </w:p>
    <w:p w14:paraId="5DFBAFB2">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w:t>
      </w:r>
      <w:r>
        <w:rPr>
          <w:rFonts w:ascii="宋体" w:hAnsi="宋体" w:eastAsia="宋体"/>
          <w:bCs/>
          <w:color w:val="auto"/>
          <w:sz w:val="21"/>
          <w:szCs w:val="21"/>
          <w:highlight w:val="none"/>
        </w:rPr>
        <w:t>开标地点：</w:t>
      </w:r>
      <w:r>
        <w:rPr>
          <w:rFonts w:hint="eastAsia" w:ascii="宋体" w:hAnsi="宋体" w:eastAsia="宋体"/>
          <w:bCs/>
          <w:color w:val="auto"/>
          <w:sz w:val="21"/>
          <w:szCs w:val="21"/>
          <w:highlight w:val="none"/>
        </w:rPr>
        <w:t>东莞市南城街道鸿福西路81号国际商会大厦</w:t>
      </w:r>
      <w:r>
        <w:rPr>
          <w:rFonts w:hint="eastAsia" w:ascii="宋体" w:hAnsi="宋体" w:eastAsia="宋体"/>
          <w:bCs/>
          <w:color w:val="auto"/>
          <w:sz w:val="21"/>
          <w:szCs w:val="21"/>
          <w:highlight w:val="none"/>
          <w:lang w:val="en-US" w:eastAsia="zh-CN"/>
        </w:rPr>
        <w:t>7</w:t>
      </w:r>
      <w:r>
        <w:rPr>
          <w:rFonts w:hint="eastAsia" w:ascii="宋体" w:hAnsi="宋体" w:eastAsia="宋体"/>
          <w:bCs/>
          <w:color w:val="auto"/>
          <w:sz w:val="21"/>
          <w:szCs w:val="21"/>
          <w:highlight w:val="none"/>
        </w:rPr>
        <w:t>01室。</w:t>
      </w:r>
    </w:p>
    <w:p w14:paraId="346EB64D">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b/>
          <w:color w:val="auto"/>
          <w:sz w:val="21"/>
          <w:szCs w:val="21"/>
          <w:highlight w:val="none"/>
        </w:rPr>
      </w:pPr>
    </w:p>
    <w:p w14:paraId="432EFE98">
      <w:pPr>
        <w:keepNext w:val="0"/>
        <w:keepLines w:val="0"/>
        <w:pageBreakBefore w:val="0"/>
        <w:widowControl/>
        <w:kinsoku/>
        <w:wordWrap/>
        <w:overflowPunct/>
        <w:topLinePunct w:val="0"/>
        <w:autoSpaceDE/>
        <w:autoSpaceDN/>
        <w:bidi w:val="0"/>
        <w:adjustRightInd/>
        <w:snapToGrid/>
        <w:spacing w:after="0" w:line="400" w:lineRule="exact"/>
        <w:textAlignment w:val="auto"/>
        <w:rPr>
          <w:rFonts w:ascii="宋体" w:hAnsi="宋体" w:eastAsia="宋体"/>
          <w:bCs/>
          <w:color w:val="auto"/>
          <w:sz w:val="21"/>
          <w:szCs w:val="21"/>
          <w:highlight w:val="none"/>
        </w:rPr>
      </w:pPr>
      <w:r>
        <w:rPr>
          <w:rFonts w:hint="eastAsia" w:ascii="宋体" w:hAnsi="宋体" w:eastAsia="宋体"/>
          <w:b/>
          <w:color w:val="auto"/>
          <w:sz w:val="21"/>
          <w:szCs w:val="21"/>
          <w:highlight w:val="none"/>
        </w:rPr>
        <w:t>五、采购人及采购代理机构的名称、地址和联系方法：</w:t>
      </w:r>
    </w:p>
    <w:p w14:paraId="37A132CD">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rPr>
        <w:t>采购人联系人：</w:t>
      </w:r>
      <w:r>
        <w:rPr>
          <w:rFonts w:hint="eastAsia" w:ascii="宋体" w:hAnsi="宋体" w:eastAsia="宋体"/>
          <w:bCs/>
          <w:color w:val="auto"/>
          <w:sz w:val="21"/>
          <w:szCs w:val="21"/>
          <w:highlight w:val="none"/>
          <w:lang w:eastAsia="zh-CN"/>
        </w:rPr>
        <w:t>东莞市民政局</w:t>
      </w:r>
    </w:p>
    <w:p w14:paraId="50072A02">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rPr>
        <w:t>地址：</w:t>
      </w:r>
      <w:r>
        <w:rPr>
          <w:rFonts w:hint="eastAsia" w:ascii="宋体" w:hAnsi="宋体" w:eastAsia="宋体"/>
          <w:bCs/>
          <w:color w:val="auto"/>
          <w:sz w:val="21"/>
          <w:szCs w:val="21"/>
          <w:highlight w:val="none"/>
          <w:lang w:eastAsia="zh-CN"/>
        </w:rPr>
        <w:t>东莞市莞城街道汇峰路</w:t>
      </w:r>
      <w:r>
        <w:rPr>
          <w:rFonts w:hint="eastAsia" w:ascii="宋体" w:hAnsi="宋体" w:eastAsia="宋体"/>
          <w:bCs/>
          <w:color w:val="auto"/>
          <w:sz w:val="21"/>
          <w:szCs w:val="21"/>
          <w:highlight w:val="none"/>
          <w:lang w:val="en-US" w:eastAsia="zh-CN"/>
        </w:rPr>
        <w:t>1号汇峰中心H区4-5楼</w:t>
      </w:r>
    </w:p>
    <w:p w14:paraId="36DEC664">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rPr>
        <w:t>联系电话：</w:t>
      </w:r>
      <w:r>
        <w:rPr>
          <w:rFonts w:hint="eastAsia" w:ascii="宋体" w:hAnsi="宋体" w:eastAsia="宋体"/>
          <w:bCs/>
          <w:color w:val="auto"/>
          <w:sz w:val="21"/>
          <w:szCs w:val="21"/>
          <w:highlight w:val="none"/>
          <w:lang w:val="en-US" w:eastAsia="zh-CN"/>
        </w:rPr>
        <w:t>0769-22832532</w:t>
      </w:r>
    </w:p>
    <w:p w14:paraId="4E41C75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p>
    <w:p w14:paraId="39F92A38">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采购代理机构名称：三方诚信招标有限公司东莞分公司</w:t>
      </w:r>
    </w:p>
    <w:p w14:paraId="1F540D27">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地址：东莞市南城街道鸿福西路81号国际商会大厦706室</w:t>
      </w:r>
    </w:p>
    <w:p w14:paraId="0A1437A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采购代理机构联系人：</w:t>
      </w:r>
      <w:r>
        <w:rPr>
          <w:rFonts w:hint="eastAsia" w:ascii="宋体" w:hAnsi="宋体" w:eastAsia="宋体"/>
          <w:color w:val="auto"/>
          <w:sz w:val="21"/>
          <w:szCs w:val="21"/>
          <w:highlight w:val="none"/>
          <w:lang w:eastAsia="zh-CN"/>
        </w:rPr>
        <w:t>谭杰滨</w:t>
      </w:r>
    </w:p>
    <w:p w14:paraId="2E5FCC23">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联系电话：0769-21682660</w:t>
      </w:r>
    </w:p>
    <w:p w14:paraId="0416DB5B">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olor w:val="auto"/>
          <w:sz w:val="21"/>
          <w:szCs w:val="21"/>
          <w:highlight w:val="none"/>
        </w:rPr>
        <w:t xml:space="preserve">E－ </w:t>
      </w:r>
      <w:r>
        <w:rPr>
          <w:rFonts w:hint="eastAsia" w:ascii="宋体" w:hAnsi="宋体" w:eastAsia="宋体"/>
          <w:color w:val="auto"/>
          <w:sz w:val="21"/>
          <w:szCs w:val="21"/>
          <w:highlight w:val="none"/>
          <w:lang w:val="en-US" w:eastAsia="zh-CN"/>
        </w:rPr>
        <w:t>mail：562968310@qq.com</w:t>
      </w:r>
    </w:p>
    <w:p w14:paraId="29832C6B">
      <w:pPr>
        <w:keepNext w:val="0"/>
        <w:keepLines w:val="0"/>
        <w:pageBreakBefore w:val="0"/>
        <w:widowControl/>
        <w:kinsoku/>
        <w:wordWrap/>
        <w:overflowPunct/>
        <w:topLinePunct w:val="0"/>
        <w:autoSpaceDE/>
        <w:autoSpaceDN/>
        <w:bidi w:val="0"/>
        <w:adjustRightInd/>
        <w:snapToGrid/>
        <w:spacing w:line="400" w:lineRule="exact"/>
        <w:ind w:right="788" w:rightChars="358"/>
        <w:jc w:val="right"/>
        <w:textAlignment w:val="auto"/>
        <w:rPr>
          <w:rFonts w:hint="eastAsia" w:ascii="宋体" w:hAnsi="宋体" w:eastAsia="宋体" w:cs="宋体"/>
          <w:color w:val="auto"/>
          <w:sz w:val="21"/>
          <w:szCs w:val="21"/>
          <w:highlight w:val="none"/>
        </w:rPr>
      </w:pPr>
    </w:p>
    <w:p w14:paraId="2F7F757A">
      <w:pPr>
        <w:keepNext w:val="0"/>
        <w:keepLines w:val="0"/>
        <w:pageBreakBefore w:val="0"/>
        <w:widowControl/>
        <w:kinsoku/>
        <w:wordWrap/>
        <w:overflowPunct/>
        <w:topLinePunct w:val="0"/>
        <w:autoSpaceDE/>
        <w:autoSpaceDN/>
        <w:bidi w:val="0"/>
        <w:adjustRightInd/>
        <w:snapToGrid/>
        <w:spacing w:line="400" w:lineRule="exact"/>
        <w:ind w:right="788" w:rightChars="358"/>
        <w:jc w:val="righ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三方诚信招标有限公司东莞分公司</w:t>
      </w:r>
    </w:p>
    <w:p w14:paraId="1701A0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2025年8</w:t>
      </w:r>
      <w:r>
        <w:rPr>
          <w:rFonts w:hint="eastAsia" w:ascii="宋体" w:hAnsi="宋体" w:eastAsia="宋体" w:cs="宋体"/>
          <w:color w:val="auto"/>
          <w:sz w:val="21"/>
          <w:szCs w:val="21"/>
          <w:highlight w:val="none"/>
        </w:rPr>
        <w:t>月</w:t>
      </w:r>
    </w:p>
    <w:p w14:paraId="31C94EC3">
      <w:pPr>
        <w:pageBreakBefore w:val="0"/>
        <w:kinsoku/>
        <w:topLinePunct w:val="0"/>
        <w:autoSpaceDE/>
        <w:autoSpaceDN/>
        <w:bidi w:val="0"/>
        <w:spacing w:line="360" w:lineRule="auto"/>
        <w:ind w:left="6481" w:leftChars="2755" w:hanging="420" w:hangingChars="200"/>
        <w:rPr>
          <w:rFonts w:ascii="黑体" w:hAnsi="宋体" w:eastAsia="黑体"/>
          <w:color w:val="auto"/>
          <w:highlight w:val="none"/>
        </w:rPr>
      </w:pPr>
      <w:r>
        <w:rPr>
          <w:rFonts w:hint="eastAsia" w:ascii="宋体" w:hAnsi="宋体" w:eastAsia="宋体" w:cs="宋体"/>
          <w:color w:val="auto"/>
          <w:sz w:val="21"/>
          <w:szCs w:val="21"/>
          <w:highlight w:val="none"/>
        </w:rPr>
        <w:br w:type="page"/>
      </w:r>
    </w:p>
    <w:p w14:paraId="386FF23E">
      <w:pPr>
        <w:pStyle w:val="3"/>
        <w:pageBreakBefore w:val="0"/>
        <w:kinsoku/>
        <w:topLinePunct w:val="0"/>
        <w:autoSpaceDE/>
        <w:autoSpaceDN/>
        <w:bidi w:val="0"/>
        <w:spacing w:before="0" w:after="0" w:line="360" w:lineRule="auto"/>
        <w:rPr>
          <w:color w:val="auto"/>
          <w:sz w:val="28"/>
          <w:szCs w:val="28"/>
          <w:highlight w:val="none"/>
        </w:rPr>
      </w:pPr>
      <w:bookmarkStart w:id="2" w:name="_Toc857"/>
      <w:r>
        <w:rPr>
          <w:rFonts w:hint="eastAsia"/>
          <w:color w:val="auto"/>
          <w:sz w:val="28"/>
          <w:szCs w:val="28"/>
          <w:highlight w:val="none"/>
        </w:rPr>
        <w:t>第二部分 相关资料表格</w:t>
      </w:r>
      <w:bookmarkEnd w:id="2"/>
    </w:p>
    <w:p w14:paraId="4E8DBC03">
      <w:pPr>
        <w:pStyle w:val="4"/>
        <w:pageBreakBefore w:val="0"/>
        <w:kinsoku/>
        <w:wordWrap/>
        <w:overflowPunct/>
        <w:topLinePunct w:val="0"/>
        <w:autoSpaceDE/>
        <w:autoSpaceDN/>
        <w:bidi w:val="0"/>
        <w:spacing w:before="0" w:after="0" w:line="360" w:lineRule="auto"/>
        <w:jc w:val="center"/>
        <w:textAlignment w:val="auto"/>
        <w:rPr>
          <w:rFonts w:ascii="宋体" w:hAnsi="宋体" w:eastAsia="宋体" w:cs="宋体"/>
          <w:color w:val="auto"/>
          <w:sz w:val="24"/>
          <w:szCs w:val="24"/>
          <w:highlight w:val="none"/>
        </w:rPr>
      </w:pPr>
      <w:bookmarkStart w:id="3" w:name="_Toc17481"/>
      <w:r>
        <w:rPr>
          <w:rFonts w:hint="eastAsia" w:ascii="宋体" w:hAnsi="宋体" w:eastAsia="宋体" w:cs="宋体"/>
          <w:color w:val="auto"/>
          <w:sz w:val="24"/>
          <w:szCs w:val="24"/>
          <w:highlight w:val="none"/>
        </w:rPr>
        <w:t>附表一：投标资料表</w:t>
      </w:r>
      <w:bookmarkEnd w:id="3"/>
    </w:p>
    <w:tbl>
      <w:tblPr>
        <w:tblStyle w:val="18"/>
        <w:tblW w:w="8410" w:type="dxa"/>
        <w:tblInd w:w="-24"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1154"/>
        <w:gridCol w:w="4"/>
        <w:gridCol w:w="3766"/>
      </w:tblGrid>
      <w:tr w14:paraId="2E5CB54D">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vAlign w:val="center"/>
          </w:tcPr>
          <w:p w14:paraId="7AAF54B7">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7532" w:type="dxa"/>
            <w:gridSpan w:val="4"/>
            <w:vAlign w:val="center"/>
          </w:tcPr>
          <w:p w14:paraId="2D6B1956">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内</w:t>
            </w:r>
            <w:r>
              <w:rPr>
                <w:rFonts w:ascii="宋体" w:hAnsi="宋体" w:eastAsia="宋体"/>
                <w:b/>
                <w:color w:val="auto"/>
                <w:sz w:val="21"/>
                <w:szCs w:val="21"/>
                <w:highlight w:val="none"/>
              </w:rPr>
              <w:t xml:space="preserve">      </w:t>
            </w:r>
            <w:r>
              <w:rPr>
                <w:rFonts w:hint="eastAsia" w:ascii="宋体" w:hAnsi="宋体" w:eastAsia="宋体"/>
                <w:b/>
                <w:color w:val="auto"/>
                <w:sz w:val="21"/>
                <w:szCs w:val="21"/>
                <w:highlight w:val="none"/>
              </w:rPr>
              <w:t>容</w:t>
            </w:r>
          </w:p>
        </w:tc>
      </w:tr>
      <w:tr w14:paraId="6896B7D2">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5"/>
            <w:vAlign w:val="center"/>
          </w:tcPr>
          <w:p w14:paraId="0C775B7B">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一、说明</w:t>
            </w:r>
          </w:p>
        </w:tc>
      </w:tr>
      <w:tr w14:paraId="4B7EDB41">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14:paraId="042EFB16">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7532" w:type="dxa"/>
            <w:gridSpan w:val="4"/>
            <w:vAlign w:val="center"/>
          </w:tcPr>
          <w:p w14:paraId="6432592D">
            <w:pPr>
              <w:keepNext w:val="0"/>
              <w:keepLines w:val="0"/>
              <w:pageBreakBefore w:val="0"/>
              <w:kinsoku/>
              <w:wordWrap/>
              <w:overflowPunct/>
              <w:topLinePunct w:val="0"/>
              <w:autoSpaceDE/>
              <w:autoSpaceDN/>
              <w:bidi w:val="0"/>
              <w:adjustRightInd/>
              <w:snapToGrid/>
              <w:spacing w:after="0" w:line="300" w:lineRule="exact"/>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项目最高限价（单位：元）</w:t>
            </w:r>
          </w:p>
        </w:tc>
      </w:tr>
      <w:tr w14:paraId="4555434A">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1E18EE32">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362EBC27">
            <w:pPr>
              <w:keepNext w:val="0"/>
              <w:keepLines w:val="0"/>
              <w:pageBreakBefore w:val="0"/>
              <w:kinsoku/>
              <w:wordWrap/>
              <w:overflowPunct/>
              <w:topLinePunct w:val="0"/>
              <w:autoSpaceDE/>
              <w:autoSpaceDN/>
              <w:bidi w:val="0"/>
              <w:adjustRightInd/>
              <w:snapToGrid/>
              <w:spacing w:after="0" w:line="300" w:lineRule="exact"/>
              <w:textAlignment w:val="auto"/>
              <w:rPr>
                <w:rFonts w:ascii="宋体" w:hAnsi="宋体" w:eastAsia="宋体"/>
                <w:b/>
                <w:bCs/>
                <w:color w:val="auto"/>
                <w:sz w:val="21"/>
                <w:szCs w:val="21"/>
                <w:highlight w:val="none"/>
              </w:rPr>
            </w:pPr>
            <w:r>
              <w:rPr>
                <w:rFonts w:hint="eastAsia" w:ascii="宋体" w:hAnsi="宋体" w:eastAsia="宋体"/>
                <w:bCs/>
                <w:color w:val="auto"/>
                <w:sz w:val="21"/>
                <w:szCs w:val="21"/>
                <w:highlight w:val="none"/>
              </w:rPr>
              <w:t>与项目预算一致。</w:t>
            </w:r>
          </w:p>
        </w:tc>
      </w:tr>
      <w:tr w14:paraId="63EC80CA">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85" w:hRule="atLeast"/>
        </w:trPr>
        <w:tc>
          <w:tcPr>
            <w:tcW w:w="878" w:type="dxa"/>
            <w:vMerge w:val="restart"/>
            <w:vAlign w:val="center"/>
          </w:tcPr>
          <w:p w14:paraId="18832790">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w:t>
            </w:r>
          </w:p>
        </w:tc>
        <w:tc>
          <w:tcPr>
            <w:tcW w:w="7532" w:type="dxa"/>
            <w:gridSpan w:val="4"/>
            <w:vAlign w:val="center"/>
          </w:tcPr>
          <w:p w14:paraId="2D498F74">
            <w:pPr>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项目类型</w:t>
            </w:r>
          </w:p>
        </w:tc>
      </w:tr>
      <w:tr w14:paraId="1A2BC5E0">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1A65E45C">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7C0B0696">
            <w:pPr>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eastAsia="zh-CN"/>
              </w:rPr>
              <w:t>货物</w:t>
            </w:r>
            <w:r>
              <w:rPr>
                <w:rFonts w:hint="eastAsia" w:ascii="宋体" w:hAnsi="宋体" w:eastAsia="宋体"/>
                <w:bCs/>
                <w:color w:val="auto"/>
                <w:sz w:val="21"/>
                <w:szCs w:val="21"/>
                <w:highlight w:val="none"/>
              </w:rPr>
              <w:sym w:font="Wingdings" w:char="00A8"/>
            </w:r>
            <w:r>
              <w:rPr>
                <w:rFonts w:hint="eastAsia" w:ascii="宋体" w:hAnsi="宋体" w:eastAsia="宋体"/>
                <w:bCs/>
                <w:color w:val="auto"/>
                <w:sz w:val="21"/>
                <w:szCs w:val="21"/>
                <w:highlight w:val="none"/>
                <w:lang w:val="en-US" w:eastAsia="zh-CN"/>
              </w:rPr>
              <w:t xml:space="preserve">   工程</w:t>
            </w:r>
            <w:r>
              <w:rPr>
                <w:rFonts w:hint="eastAsia" w:ascii="宋体" w:hAnsi="宋体" w:eastAsia="宋体"/>
                <w:bCs/>
                <w:color w:val="auto"/>
                <w:sz w:val="21"/>
                <w:szCs w:val="21"/>
                <w:highlight w:val="none"/>
                <w:lang w:val="en-US" w:eastAsia="zh-CN"/>
              </w:rPr>
              <w:sym w:font="Wingdings" w:char="00A8"/>
            </w:r>
            <w:r>
              <w:rPr>
                <w:rFonts w:hint="eastAsia" w:ascii="宋体" w:hAnsi="宋体" w:eastAsia="宋体"/>
                <w:bCs/>
                <w:color w:val="auto"/>
                <w:sz w:val="21"/>
                <w:szCs w:val="21"/>
                <w:highlight w:val="none"/>
                <w:lang w:val="en-US" w:eastAsia="zh-CN"/>
              </w:rPr>
              <w:t xml:space="preserve">   服务</w:t>
            </w:r>
            <w:r>
              <w:rPr>
                <w:rFonts w:hint="eastAsia" w:ascii="宋体" w:hAnsi="宋体" w:eastAsia="宋体"/>
                <w:bCs/>
                <w:color w:val="auto"/>
                <w:sz w:val="21"/>
                <w:szCs w:val="21"/>
                <w:highlight w:val="none"/>
                <w:lang w:val="en-US" w:eastAsia="zh-CN"/>
              </w:rPr>
              <w:sym w:font="Wingdings" w:char="00FE"/>
            </w:r>
          </w:p>
        </w:tc>
      </w:tr>
      <w:tr w14:paraId="048246A3">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161860C2">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1035B3C0">
            <w:pPr>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所属行业：其他未列明行业</w:t>
            </w:r>
          </w:p>
        </w:tc>
      </w:tr>
      <w:tr w14:paraId="3A106AAC">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14:paraId="6C70564E">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3</w:t>
            </w:r>
          </w:p>
        </w:tc>
        <w:tc>
          <w:tcPr>
            <w:tcW w:w="7532" w:type="dxa"/>
            <w:gridSpan w:val="4"/>
            <w:vAlign w:val="center"/>
          </w:tcPr>
          <w:p w14:paraId="780B5629">
            <w:pPr>
              <w:keepNext w:val="0"/>
              <w:keepLines w:val="0"/>
              <w:pageBreakBefore w:val="0"/>
              <w:kinsoku/>
              <w:wordWrap/>
              <w:overflowPunct/>
              <w:topLinePunct w:val="0"/>
              <w:autoSpaceDE/>
              <w:autoSpaceDN/>
              <w:bidi w:val="0"/>
              <w:adjustRightInd/>
              <w:snapToGrid/>
              <w:spacing w:after="0" w:line="300" w:lineRule="exact"/>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资金来源</w:t>
            </w:r>
          </w:p>
        </w:tc>
      </w:tr>
      <w:tr w14:paraId="0A13D9E0">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57D18920">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0DE14326">
            <w:pPr>
              <w:keepNext w:val="0"/>
              <w:keepLines w:val="0"/>
              <w:pageBreakBefore w:val="0"/>
              <w:kinsoku/>
              <w:wordWrap/>
              <w:overflowPunct/>
              <w:topLinePunct w:val="0"/>
              <w:autoSpaceDE/>
              <w:autoSpaceDN/>
              <w:bidi w:val="0"/>
              <w:adjustRightInd/>
              <w:snapToGrid/>
              <w:spacing w:after="0" w:line="300" w:lineRule="exact"/>
              <w:textAlignment w:val="auto"/>
              <w:rPr>
                <w:rFonts w:ascii="宋体" w:hAnsi="宋体" w:eastAsia="宋体"/>
                <w:b/>
                <w:bCs/>
                <w:color w:val="auto"/>
                <w:sz w:val="21"/>
                <w:szCs w:val="21"/>
                <w:highlight w:val="none"/>
              </w:rPr>
            </w:pPr>
            <w:r>
              <w:rPr>
                <w:rFonts w:hint="eastAsia" w:ascii="宋体" w:hAnsi="宋体" w:eastAsia="宋体"/>
                <w:bCs/>
                <w:color w:val="auto"/>
                <w:sz w:val="21"/>
                <w:szCs w:val="21"/>
                <w:highlight w:val="none"/>
                <w:lang w:val="en-US" w:eastAsia="zh-CN"/>
              </w:rPr>
              <w:t>财政性资金。</w:t>
            </w:r>
          </w:p>
        </w:tc>
      </w:tr>
      <w:tr w14:paraId="17570B0F">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14:paraId="72D14F1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p>
        </w:tc>
        <w:tc>
          <w:tcPr>
            <w:tcW w:w="7532" w:type="dxa"/>
            <w:gridSpan w:val="4"/>
            <w:vAlign w:val="center"/>
          </w:tcPr>
          <w:p w14:paraId="0D1F16CB">
            <w:pPr>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eastAsia="宋体"/>
                <w:color w:val="auto"/>
                <w:sz w:val="21"/>
                <w:szCs w:val="21"/>
                <w:highlight w:val="none"/>
              </w:rPr>
            </w:pPr>
            <w:r>
              <w:rPr>
                <w:rFonts w:hint="eastAsia" w:ascii="宋体" w:hAnsi="宋体" w:eastAsia="宋体"/>
                <w:b/>
                <w:color w:val="auto"/>
                <w:sz w:val="21"/>
                <w:szCs w:val="21"/>
                <w:highlight w:val="none"/>
                <w:lang w:eastAsia="zh-CN"/>
              </w:rPr>
              <w:t>是否为专门面向中小企业</w:t>
            </w:r>
            <w:r>
              <w:rPr>
                <w:rFonts w:hint="eastAsia" w:ascii="宋体" w:hAnsi="宋体" w:eastAsia="宋体"/>
                <w:b/>
                <w:bCs w:val="0"/>
                <w:color w:val="auto"/>
                <w:sz w:val="21"/>
                <w:szCs w:val="21"/>
                <w:highlight w:val="none"/>
                <w:lang w:eastAsia="zh-CN"/>
              </w:rPr>
              <w:t>采购的采购项目</w:t>
            </w:r>
          </w:p>
        </w:tc>
      </w:tr>
      <w:tr w14:paraId="143555BF">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3D76CCD0">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78B7CA58">
            <w:pPr>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eastAsia="宋体"/>
                <w:color w:val="auto"/>
                <w:sz w:val="21"/>
                <w:szCs w:val="21"/>
                <w:highlight w:val="none"/>
              </w:rPr>
            </w:pPr>
            <w:r>
              <w:rPr>
                <w:rFonts w:hint="eastAsia" w:ascii="宋体" w:hAnsi="宋体" w:eastAsia="宋体"/>
                <w:bCs/>
                <w:color w:val="auto"/>
                <w:sz w:val="21"/>
                <w:szCs w:val="21"/>
                <w:highlight w:val="none"/>
                <w:lang w:eastAsia="zh-CN"/>
              </w:rPr>
              <w:t>是</w:t>
            </w:r>
            <w:r>
              <w:rPr>
                <w:rFonts w:hint="eastAsia" w:ascii="宋体" w:hAnsi="宋体" w:eastAsia="宋体"/>
                <w:bCs/>
                <w:color w:val="auto"/>
                <w:sz w:val="21"/>
                <w:szCs w:val="21"/>
                <w:highlight w:val="none"/>
              </w:rPr>
              <w:sym w:font="Wingdings" w:char="00A8"/>
            </w:r>
            <w:r>
              <w:rPr>
                <w:rFonts w:hint="eastAsia" w:ascii="宋体" w:hAnsi="宋体" w:eastAsia="宋体"/>
                <w:bCs/>
                <w:color w:val="auto"/>
                <w:sz w:val="21"/>
                <w:szCs w:val="21"/>
                <w:highlight w:val="none"/>
                <w:lang w:val="en-US" w:eastAsia="zh-CN"/>
              </w:rPr>
              <w:t xml:space="preserve">    否</w:t>
            </w:r>
            <w:r>
              <w:rPr>
                <w:rFonts w:hint="eastAsia" w:ascii="宋体" w:hAnsi="宋体" w:eastAsia="宋体"/>
                <w:bCs/>
                <w:color w:val="auto"/>
                <w:sz w:val="21"/>
                <w:szCs w:val="21"/>
                <w:highlight w:val="none"/>
                <w:lang w:val="en-US" w:eastAsia="zh-CN"/>
              </w:rPr>
              <w:sym w:font="Wingdings" w:char="00FE"/>
            </w:r>
          </w:p>
        </w:tc>
      </w:tr>
      <w:tr w14:paraId="56B91472">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09" w:hRule="atLeast"/>
        </w:trPr>
        <w:tc>
          <w:tcPr>
            <w:tcW w:w="878" w:type="dxa"/>
            <w:vMerge w:val="restart"/>
            <w:vAlign w:val="center"/>
          </w:tcPr>
          <w:p w14:paraId="7DB14FEE">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w:t>
            </w:r>
          </w:p>
        </w:tc>
        <w:tc>
          <w:tcPr>
            <w:tcW w:w="7532" w:type="dxa"/>
            <w:gridSpan w:val="4"/>
            <w:vAlign w:val="center"/>
          </w:tcPr>
          <w:p w14:paraId="0AEE6ED5">
            <w:pPr>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eastAsia="宋体"/>
                <w:b/>
                <w:bCs w:val="0"/>
                <w:color w:val="auto"/>
                <w:sz w:val="21"/>
                <w:szCs w:val="21"/>
                <w:highlight w:val="none"/>
                <w:lang w:eastAsia="zh-CN"/>
              </w:rPr>
            </w:pPr>
            <w:r>
              <w:rPr>
                <w:rFonts w:hint="eastAsia" w:ascii="宋体" w:hAnsi="宋体" w:eastAsia="宋体"/>
                <w:b/>
                <w:color w:val="auto"/>
                <w:sz w:val="21"/>
                <w:szCs w:val="21"/>
                <w:highlight w:val="none"/>
                <w:lang w:eastAsia="zh-CN"/>
              </w:rPr>
              <w:t>是否为预留份额专门面向中小企业</w:t>
            </w:r>
            <w:r>
              <w:rPr>
                <w:rFonts w:hint="eastAsia" w:ascii="宋体" w:hAnsi="宋体" w:eastAsia="宋体"/>
                <w:b/>
                <w:bCs w:val="0"/>
                <w:color w:val="auto"/>
                <w:sz w:val="21"/>
                <w:szCs w:val="21"/>
                <w:highlight w:val="none"/>
                <w:lang w:eastAsia="zh-CN"/>
              </w:rPr>
              <w:t>采购</w:t>
            </w:r>
          </w:p>
        </w:tc>
      </w:tr>
      <w:tr w14:paraId="29CF3E1E">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367" w:hRule="atLeast"/>
        </w:trPr>
        <w:tc>
          <w:tcPr>
            <w:tcW w:w="878" w:type="dxa"/>
            <w:vMerge w:val="continue"/>
            <w:vAlign w:val="center"/>
          </w:tcPr>
          <w:p w14:paraId="43673B74">
            <w:pPr>
              <w:keepNext w:val="0"/>
              <w:keepLines w:val="0"/>
              <w:pageBreakBefore w:val="0"/>
              <w:kinsoku/>
              <w:wordWrap/>
              <w:overflowPunct/>
              <w:topLinePunct w:val="0"/>
              <w:autoSpaceDE/>
              <w:autoSpaceDN/>
              <w:bidi w:val="0"/>
              <w:adjustRightInd/>
              <w:snapToGrid/>
              <w:spacing w:after="0" w:line="300" w:lineRule="exact"/>
              <w:textAlignment w:val="auto"/>
              <w:rPr>
                <w:color w:val="auto"/>
                <w:highlight w:val="none"/>
              </w:rPr>
            </w:pPr>
          </w:p>
        </w:tc>
        <w:tc>
          <w:tcPr>
            <w:tcW w:w="7532" w:type="dxa"/>
            <w:gridSpan w:val="4"/>
            <w:vAlign w:val="center"/>
          </w:tcPr>
          <w:p w14:paraId="23D6A8A5">
            <w:pPr>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eastAsia="宋体"/>
                <w:b/>
                <w:bCs w:val="0"/>
                <w:color w:val="auto"/>
                <w:sz w:val="21"/>
                <w:szCs w:val="21"/>
                <w:highlight w:val="none"/>
                <w:lang w:eastAsia="zh-CN"/>
              </w:rPr>
            </w:pPr>
            <w:r>
              <w:rPr>
                <w:rFonts w:hint="eastAsia" w:ascii="宋体" w:hAnsi="宋体" w:eastAsia="宋体"/>
                <w:bCs/>
                <w:color w:val="auto"/>
                <w:sz w:val="21"/>
                <w:szCs w:val="21"/>
                <w:highlight w:val="none"/>
                <w:lang w:eastAsia="zh-CN"/>
              </w:rPr>
              <w:t>是</w:t>
            </w:r>
            <w:r>
              <w:rPr>
                <w:rFonts w:hint="eastAsia" w:ascii="宋体" w:hAnsi="宋体" w:eastAsia="宋体"/>
                <w:bCs/>
                <w:color w:val="auto"/>
                <w:sz w:val="21"/>
                <w:szCs w:val="21"/>
                <w:highlight w:val="none"/>
              </w:rPr>
              <w:sym w:font="Wingdings" w:char="00A8"/>
            </w:r>
            <w:r>
              <w:rPr>
                <w:rFonts w:hint="eastAsia" w:ascii="宋体" w:hAnsi="宋体" w:eastAsia="宋体"/>
                <w:bCs/>
                <w:color w:val="auto"/>
                <w:sz w:val="21"/>
                <w:szCs w:val="21"/>
                <w:highlight w:val="none"/>
                <w:lang w:eastAsia="zh-CN"/>
              </w:rPr>
              <w:t>（预留份额为</w:t>
            </w:r>
            <w:r>
              <w:rPr>
                <w:rFonts w:hint="eastAsia" w:ascii="宋体" w:hAnsi="宋体" w:eastAsia="宋体"/>
                <w:bCs/>
                <w:color w:val="auto"/>
                <w:sz w:val="21"/>
                <w:szCs w:val="21"/>
                <w:highlight w:val="none"/>
                <w:u w:val="single"/>
                <w:lang w:eastAsia="zh-CN"/>
              </w:rPr>
              <w:t>：</w:t>
            </w:r>
            <w:r>
              <w:rPr>
                <w:rFonts w:hint="eastAsia" w:ascii="宋体" w:hAnsi="宋体" w:eastAsia="宋体"/>
                <w:bCs/>
                <w:color w:val="auto"/>
                <w:sz w:val="21"/>
                <w:szCs w:val="21"/>
                <w:highlight w:val="none"/>
                <w:u w:val="single"/>
                <w:lang w:val="en-US" w:eastAsia="zh-CN"/>
              </w:rPr>
              <w:t xml:space="preserve">   </w:t>
            </w:r>
            <w:r>
              <w:rPr>
                <w:rFonts w:hint="eastAsia" w:ascii="宋体" w:hAnsi="宋体" w:eastAsia="宋体"/>
                <w:bCs/>
                <w:color w:val="auto"/>
                <w:sz w:val="21"/>
                <w:szCs w:val="21"/>
                <w:highlight w:val="none"/>
                <w:lang w:val="en-US" w:eastAsia="zh-CN"/>
              </w:rPr>
              <w:t xml:space="preserve"> </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 xml:space="preserve">    否</w:t>
            </w:r>
            <w:r>
              <w:rPr>
                <w:rFonts w:hint="eastAsia" w:ascii="宋体" w:hAnsi="宋体" w:eastAsia="宋体"/>
                <w:bCs/>
                <w:color w:val="auto"/>
                <w:sz w:val="21"/>
                <w:szCs w:val="21"/>
                <w:highlight w:val="none"/>
                <w:lang w:val="en-US" w:eastAsia="zh-CN"/>
              </w:rPr>
              <w:sym w:font="Wingdings" w:char="00FE"/>
            </w:r>
          </w:p>
        </w:tc>
      </w:tr>
      <w:tr w14:paraId="38D32460">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14:paraId="7DA83B6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w:t>
            </w:r>
          </w:p>
        </w:tc>
        <w:tc>
          <w:tcPr>
            <w:tcW w:w="7532" w:type="dxa"/>
            <w:gridSpan w:val="4"/>
            <w:vAlign w:val="center"/>
          </w:tcPr>
          <w:p w14:paraId="30D8A77D">
            <w:pPr>
              <w:keepNext w:val="0"/>
              <w:keepLines w:val="0"/>
              <w:pageBreakBefore w:val="0"/>
              <w:kinsoku/>
              <w:wordWrap/>
              <w:overflowPunct/>
              <w:topLinePunct w:val="0"/>
              <w:autoSpaceDE/>
              <w:autoSpaceDN/>
              <w:bidi w:val="0"/>
              <w:adjustRightInd/>
              <w:snapToGrid/>
              <w:spacing w:after="0" w:line="3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踏勘现场</w:t>
            </w:r>
          </w:p>
        </w:tc>
      </w:tr>
      <w:tr w14:paraId="197B0F72">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65035C55">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287B5124">
            <w:pPr>
              <w:keepNext w:val="0"/>
              <w:keepLines w:val="0"/>
              <w:pageBreakBefore w:val="0"/>
              <w:kinsoku/>
              <w:wordWrap/>
              <w:overflowPunct/>
              <w:topLinePunct w:val="0"/>
              <w:autoSpaceDE/>
              <w:autoSpaceDN/>
              <w:bidi w:val="0"/>
              <w:adjustRightInd/>
              <w:snapToGrid/>
              <w:spacing w:after="0" w:line="300" w:lineRule="exact"/>
              <w:textAlignment w:val="auto"/>
              <w:rPr>
                <w:rFonts w:ascii="宋体" w:hAnsi="宋体" w:eastAsia="宋体"/>
                <w:b/>
                <w:color w:val="auto"/>
                <w:sz w:val="21"/>
                <w:szCs w:val="21"/>
                <w:highlight w:val="none"/>
              </w:rPr>
            </w:pPr>
            <w:r>
              <w:rPr>
                <w:rFonts w:hint="eastAsia" w:ascii="宋体" w:hAnsi="宋体" w:eastAsia="宋体"/>
                <w:bCs/>
                <w:color w:val="auto"/>
                <w:sz w:val="21"/>
                <w:szCs w:val="21"/>
                <w:highlight w:val="none"/>
              </w:rPr>
              <w:t>本项目不组织踏勘现场。</w:t>
            </w:r>
          </w:p>
        </w:tc>
      </w:tr>
      <w:tr w14:paraId="4557F4E4">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restart"/>
            <w:vAlign w:val="center"/>
          </w:tcPr>
          <w:p w14:paraId="567BEEF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7</w:t>
            </w:r>
          </w:p>
        </w:tc>
        <w:tc>
          <w:tcPr>
            <w:tcW w:w="7532" w:type="dxa"/>
            <w:gridSpan w:val="4"/>
            <w:vAlign w:val="center"/>
          </w:tcPr>
          <w:p w14:paraId="064C86B8">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招标信息发布网站</w:t>
            </w:r>
          </w:p>
        </w:tc>
      </w:tr>
      <w:tr w14:paraId="7B898EBC">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14:paraId="59B266D4">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3762" w:type="dxa"/>
            <w:gridSpan w:val="2"/>
            <w:vAlign w:val="center"/>
          </w:tcPr>
          <w:p w14:paraId="4B058ED1">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lang w:eastAsia="zh-CN"/>
              </w:rPr>
              <w:t>三方诚信招标网</w:t>
            </w:r>
          </w:p>
        </w:tc>
        <w:tc>
          <w:tcPr>
            <w:tcW w:w="3770" w:type="dxa"/>
            <w:gridSpan w:val="2"/>
            <w:vAlign w:val="center"/>
          </w:tcPr>
          <w:p w14:paraId="283D12DC">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中国</w:t>
            </w:r>
            <w:r>
              <w:rPr>
                <w:rFonts w:hint="eastAsia" w:ascii="宋体" w:hAnsi="宋体" w:eastAsia="宋体"/>
                <w:b/>
                <w:color w:val="auto"/>
                <w:sz w:val="21"/>
                <w:szCs w:val="21"/>
                <w:highlight w:val="none"/>
                <w:lang w:eastAsia="zh-CN"/>
              </w:rPr>
              <w:t>采购与招标网</w:t>
            </w:r>
          </w:p>
        </w:tc>
      </w:tr>
      <w:tr w14:paraId="56973FF7">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14:paraId="19D96A9A">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3762" w:type="dxa"/>
            <w:gridSpan w:val="2"/>
            <w:vAlign w:val="center"/>
          </w:tcPr>
          <w:p w14:paraId="31167839">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val="0"/>
                <w:bCs/>
                <w:color w:val="auto"/>
                <w:sz w:val="21"/>
                <w:szCs w:val="21"/>
                <w:highlight w:val="none"/>
              </w:rPr>
              <w:t>http://www.sfcx.cn/</w:t>
            </w:r>
          </w:p>
        </w:tc>
        <w:tc>
          <w:tcPr>
            <w:tcW w:w="3770" w:type="dxa"/>
            <w:gridSpan w:val="2"/>
            <w:vAlign w:val="center"/>
          </w:tcPr>
          <w:p w14:paraId="04B7CB43">
            <w:pPr>
              <w:spacing w:after="0"/>
              <w:jc w:val="center"/>
              <w:rPr>
                <w:rFonts w:ascii="宋体" w:hAnsi="宋体" w:eastAsia="宋体"/>
                <w:b/>
                <w:color w:val="auto"/>
                <w:sz w:val="21"/>
                <w:szCs w:val="21"/>
                <w:highlight w:val="none"/>
              </w:rPr>
            </w:pPr>
            <w:r>
              <w:rPr>
                <w:rFonts w:hint="eastAsia" w:ascii="宋体" w:hAnsi="宋体" w:eastAsia="宋体"/>
                <w:color w:val="auto"/>
                <w:sz w:val="21"/>
                <w:szCs w:val="21"/>
                <w:highlight w:val="none"/>
              </w:rPr>
              <w:t>https://www.chinabidding.cn/</w:t>
            </w:r>
          </w:p>
        </w:tc>
      </w:tr>
      <w:tr w14:paraId="25746805">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45" w:hRule="atLeast"/>
        </w:trPr>
        <w:tc>
          <w:tcPr>
            <w:tcW w:w="8410" w:type="dxa"/>
            <w:gridSpan w:val="5"/>
            <w:vAlign w:val="center"/>
          </w:tcPr>
          <w:p w14:paraId="2511950E">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二、投标文件的编制</w:t>
            </w:r>
          </w:p>
        </w:tc>
      </w:tr>
      <w:tr w14:paraId="4DA155D1">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14:paraId="618C0F22">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8</w:t>
            </w:r>
          </w:p>
        </w:tc>
        <w:tc>
          <w:tcPr>
            <w:tcW w:w="7532" w:type="dxa"/>
            <w:gridSpan w:val="4"/>
            <w:vAlign w:val="center"/>
          </w:tcPr>
          <w:p w14:paraId="36443172">
            <w:pPr>
              <w:keepNext w:val="0"/>
              <w:keepLines w:val="0"/>
              <w:pageBreakBefore w:val="0"/>
              <w:kinsoku/>
              <w:wordWrap/>
              <w:overflowPunct/>
              <w:topLinePunct w:val="0"/>
              <w:autoSpaceDE/>
              <w:autoSpaceDN/>
              <w:bidi w:val="0"/>
              <w:adjustRightInd/>
              <w:snapToGrid/>
              <w:spacing w:after="0" w:line="3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投标语言</w:t>
            </w:r>
          </w:p>
        </w:tc>
      </w:tr>
      <w:tr w14:paraId="5DAD2E38">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1A14D800">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5FB727F1">
            <w:pPr>
              <w:keepNext w:val="0"/>
              <w:keepLines w:val="0"/>
              <w:pageBreakBefore w:val="0"/>
              <w:kinsoku/>
              <w:wordWrap/>
              <w:overflowPunct/>
              <w:topLinePunct w:val="0"/>
              <w:autoSpaceDE/>
              <w:autoSpaceDN/>
              <w:bidi w:val="0"/>
              <w:adjustRightInd/>
              <w:snapToGrid/>
              <w:spacing w:after="0" w:line="300" w:lineRule="exact"/>
              <w:textAlignment w:val="auto"/>
              <w:rPr>
                <w:rFonts w:ascii="宋体" w:hAnsi="宋体" w:eastAsia="宋体"/>
                <w:b/>
                <w:color w:val="auto"/>
                <w:sz w:val="21"/>
                <w:szCs w:val="21"/>
                <w:highlight w:val="none"/>
              </w:rPr>
            </w:pPr>
            <w:r>
              <w:rPr>
                <w:rFonts w:hint="eastAsia" w:ascii="宋体" w:hAnsi="宋体" w:eastAsia="宋体"/>
                <w:color w:val="auto"/>
                <w:sz w:val="21"/>
                <w:szCs w:val="21"/>
                <w:highlight w:val="none"/>
              </w:rPr>
              <w:t>中文。</w:t>
            </w:r>
          </w:p>
        </w:tc>
      </w:tr>
      <w:tr w14:paraId="49EF0ED1">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14:paraId="5D66E407">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9</w:t>
            </w:r>
          </w:p>
        </w:tc>
        <w:tc>
          <w:tcPr>
            <w:tcW w:w="7532" w:type="dxa"/>
            <w:gridSpan w:val="4"/>
            <w:vAlign w:val="center"/>
          </w:tcPr>
          <w:p w14:paraId="4FE4AA17">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投标报价</w:t>
            </w:r>
          </w:p>
        </w:tc>
      </w:tr>
      <w:tr w14:paraId="44270AED">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6A14030F">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64015E59">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color w:val="auto"/>
                <w:sz w:val="21"/>
                <w:szCs w:val="21"/>
                <w:highlight w:val="none"/>
              </w:rPr>
              <w:t>详见投标人须知。</w:t>
            </w:r>
          </w:p>
        </w:tc>
      </w:tr>
      <w:tr w14:paraId="6606686F">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14:paraId="0DC2ACC5">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10</w:t>
            </w:r>
          </w:p>
        </w:tc>
        <w:tc>
          <w:tcPr>
            <w:tcW w:w="7532" w:type="dxa"/>
            <w:gridSpan w:val="4"/>
            <w:vAlign w:val="center"/>
          </w:tcPr>
          <w:p w14:paraId="425D29AC">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投标样品</w:t>
            </w:r>
          </w:p>
        </w:tc>
      </w:tr>
      <w:tr w14:paraId="7EC0360F">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76709F50">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1304BA6C">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color w:val="auto"/>
                <w:sz w:val="21"/>
                <w:szCs w:val="21"/>
                <w:highlight w:val="none"/>
              </w:rPr>
              <w:t>详见用户需求。</w:t>
            </w:r>
          </w:p>
        </w:tc>
      </w:tr>
      <w:tr w14:paraId="63854498">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14:paraId="1893E50C">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11</w:t>
            </w:r>
          </w:p>
        </w:tc>
        <w:tc>
          <w:tcPr>
            <w:tcW w:w="7532" w:type="dxa"/>
            <w:gridSpan w:val="4"/>
            <w:vAlign w:val="center"/>
          </w:tcPr>
          <w:p w14:paraId="41482AE8">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color w:val="auto"/>
                <w:sz w:val="21"/>
                <w:szCs w:val="21"/>
                <w:highlight w:val="none"/>
              </w:rPr>
            </w:pPr>
            <w:r>
              <w:rPr>
                <w:rFonts w:hint="eastAsia" w:ascii="宋体" w:hAnsi="宋体" w:eastAsia="宋体"/>
                <w:b/>
                <w:color w:val="auto"/>
                <w:sz w:val="21"/>
                <w:szCs w:val="21"/>
                <w:highlight w:val="none"/>
              </w:rPr>
              <w:t>核心产品</w:t>
            </w:r>
            <w:r>
              <w:rPr>
                <w:rFonts w:hint="eastAsia" w:ascii="宋体" w:hAnsi="宋体" w:eastAsia="宋体"/>
                <w:b/>
                <w:color w:val="auto"/>
                <w:sz w:val="21"/>
                <w:szCs w:val="21"/>
                <w:highlight w:val="none"/>
                <w:lang w:eastAsia="zh-CN"/>
              </w:rPr>
              <w:t>（本项目为服务项目，无核心产品）</w:t>
            </w:r>
          </w:p>
        </w:tc>
      </w:tr>
      <w:tr w14:paraId="70EAD1F7">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488C1E06">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color w:val="auto"/>
                <w:sz w:val="21"/>
                <w:szCs w:val="21"/>
                <w:highlight w:val="none"/>
              </w:rPr>
            </w:pPr>
          </w:p>
        </w:tc>
        <w:tc>
          <w:tcPr>
            <w:tcW w:w="7532" w:type="dxa"/>
            <w:gridSpan w:val="4"/>
            <w:vAlign w:val="center"/>
          </w:tcPr>
          <w:p w14:paraId="3E139391">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“●”为核心产品</w:t>
            </w:r>
          </w:p>
        </w:tc>
      </w:tr>
      <w:tr w14:paraId="78AB4B2F">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vAlign w:val="center"/>
          </w:tcPr>
          <w:p w14:paraId="0CE69E1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12</w:t>
            </w:r>
          </w:p>
        </w:tc>
        <w:tc>
          <w:tcPr>
            <w:tcW w:w="7532" w:type="dxa"/>
            <w:gridSpan w:val="4"/>
            <w:vAlign w:val="center"/>
          </w:tcPr>
          <w:p w14:paraId="351467B4">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投标保证金</w:t>
            </w:r>
          </w:p>
        </w:tc>
      </w:tr>
      <w:tr w14:paraId="7AC28344">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14:paraId="6356029F">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33219785">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本项目不收取</w:t>
            </w:r>
            <w:r>
              <w:rPr>
                <w:rFonts w:hint="eastAsia" w:ascii="宋体" w:hAnsi="宋体" w:eastAsia="宋体"/>
                <w:color w:val="auto"/>
                <w:sz w:val="21"/>
                <w:szCs w:val="21"/>
                <w:highlight w:val="none"/>
              </w:rPr>
              <w:t>。</w:t>
            </w:r>
          </w:p>
        </w:tc>
      </w:tr>
      <w:tr w14:paraId="3AFA7DBD">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14:paraId="476ABDFC">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13</w:t>
            </w:r>
          </w:p>
        </w:tc>
        <w:tc>
          <w:tcPr>
            <w:tcW w:w="7532" w:type="dxa"/>
            <w:gridSpan w:val="4"/>
            <w:vAlign w:val="center"/>
          </w:tcPr>
          <w:p w14:paraId="7154220A">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rPr>
              <w:t>投标有效期</w:t>
            </w:r>
          </w:p>
        </w:tc>
      </w:tr>
      <w:tr w14:paraId="1A412D25">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31C7229A">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4177131C">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color w:val="auto"/>
                <w:sz w:val="21"/>
                <w:szCs w:val="21"/>
                <w:highlight w:val="none"/>
              </w:rPr>
              <w:t>九十天。</w:t>
            </w:r>
          </w:p>
        </w:tc>
      </w:tr>
      <w:tr w14:paraId="0F423BDF">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14:paraId="67246D4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14</w:t>
            </w:r>
          </w:p>
        </w:tc>
        <w:tc>
          <w:tcPr>
            <w:tcW w:w="7532" w:type="dxa"/>
            <w:gridSpan w:val="4"/>
            <w:vAlign w:val="center"/>
          </w:tcPr>
          <w:p w14:paraId="19E52AD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rPr>
            </w:pPr>
            <w:r>
              <w:rPr>
                <w:rFonts w:hint="eastAsia" w:ascii="宋体" w:hAnsi="宋体" w:eastAsia="宋体"/>
                <w:b/>
                <w:color w:val="auto"/>
                <w:sz w:val="21"/>
                <w:szCs w:val="21"/>
                <w:highlight w:val="none"/>
              </w:rPr>
              <w:t>信用信息查询渠道</w:t>
            </w:r>
          </w:p>
        </w:tc>
      </w:tr>
      <w:tr w14:paraId="2D1C634C">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6437A6ED">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lang w:val="en-US" w:eastAsia="zh-CN"/>
              </w:rPr>
            </w:pPr>
          </w:p>
        </w:tc>
        <w:tc>
          <w:tcPr>
            <w:tcW w:w="3766" w:type="dxa"/>
            <w:gridSpan w:val="3"/>
            <w:vAlign w:val="center"/>
          </w:tcPr>
          <w:p w14:paraId="783798D5">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信用中国</w:t>
            </w:r>
          </w:p>
        </w:tc>
        <w:tc>
          <w:tcPr>
            <w:tcW w:w="3766" w:type="dxa"/>
            <w:vAlign w:val="center"/>
          </w:tcPr>
          <w:p w14:paraId="0C58A630">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中国政府采购网</w:t>
            </w:r>
          </w:p>
        </w:tc>
      </w:tr>
      <w:tr w14:paraId="4AB478B6">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2C18BAA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lang w:val="en-US" w:eastAsia="zh-CN"/>
              </w:rPr>
            </w:pPr>
          </w:p>
        </w:tc>
        <w:tc>
          <w:tcPr>
            <w:tcW w:w="3766" w:type="dxa"/>
            <w:gridSpan w:val="3"/>
            <w:vAlign w:val="center"/>
          </w:tcPr>
          <w:p w14:paraId="01E8F920">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https://www.creditchina.gov.cn/</w:t>
            </w:r>
          </w:p>
        </w:tc>
        <w:tc>
          <w:tcPr>
            <w:tcW w:w="3766" w:type="dxa"/>
            <w:vAlign w:val="center"/>
          </w:tcPr>
          <w:p w14:paraId="0B48BDF7">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color w:val="auto"/>
                <w:sz w:val="21"/>
                <w:szCs w:val="21"/>
                <w:highlight w:val="none"/>
              </w:rPr>
            </w:pPr>
            <w:r>
              <w:rPr>
                <w:rFonts w:ascii="宋体" w:hAnsi="宋体" w:eastAsia="宋体"/>
                <w:color w:val="auto"/>
                <w:sz w:val="21"/>
                <w:szCs w:val="21"/>
                <w:highlight w:val="none"/>
              </w:rPr>
              <w:t>http://www.ccgp.gov.cn/</w:t>
            </w:r>
          </w:p>
        </w:tc>
      </w:tr>
      <w:tr w14:paraId="4987EA1B">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vAlign w:val="center"/>
          </w:tcPr>
          <w:p w14:paraId="6A5E58F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15</w:t>
            </w:r>
          </w:p>
        </w:tc>
        <w:tc>
          <w:tcPr>
            <w:tcW w:w="7532" w:type="dxa"/>
            <w:gridSpan w:val="4"/>
            <w:vAlign w:val="center"/>
          </w:tcPr>
          <w:p w14:paraId="0794D993">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投标人应提交以下投标文件</w:t>
            </w:r>
          </w:p>
        </w:tc>
      </w:tr>
      <w:tr w14:paraId="6CCC9BFA">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14:paraId="14384D21">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2608" w:type="dxa"/>
            <w:vAlign w:val="center"/>
          </w:tcPr>
          <w:p w14:paraId="00D0023C">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投标文件类型</w:t>
            </w:r>
          </w:p>
        </w:tc>
        <w:tc>
          <w:tcPr>
            <w:tcW w:w="4924" w:type="dxa"/>
            <w:gridSpan w:val="3"/>
            <w:vAlign w:val="center"/>
          </w:tcPr>
          <w:p w14:paraId="5A71925A">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份数</w:t>
            </w:r>
          </w:p>
        </w:tc>
      </w:tr>
      <w:tr w14:paraId="0C9CED89">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14:paraId="33B8216C">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2608" w:type="dxa"/>
            <w:vAlign w:val="center"/>
          </w:tcPr>
          <w:p w14:paraId="78E5640B">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开标文件</w:t>
            </w:r>
          </w:p>
        </w:tc>
        <w:tc>
          <w:tcPr>
            <w:tcW w:w="4924" w:type="dxa"/>
            <w:gridSpan w:val="3"/>
            <w:vAlign w:val="center"/>
          </w:tcPr>
          <w:p w14:paraId="0D984D4A">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14:paraId="1258A0FD">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14:paraId="334B3837">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2608" w:type="dxa"/>
            <w:vAlign w:val="center"/>
          </w:tcPr>
          <w:p w14:paraId="01A6022E">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投标文件正本</w:t>
            </w:r>
          </w:p>
        </w:tc>
        <w:tc>
          <w:tcPr>
            <w:tcW w:w="4924" w:type="dxa"/>
            <w:gridSpan w:val="3"/>
            <w:vAlign w:val="center"/>
          </w:tcPr>
          <w:p w14:paraId="4BB04BE5">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14:paraId="3531833A">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14:paraId="7456610C">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2608" w:type="dxa"/>
            <w:vAlign w:val="center"/>
          </w:tcPr>
          <w:p w14:paraId="39BA05E1">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投标文件副本</w:t>
            </w:r>
          </w:p>
        </w:tc>
        <w:tc>
          <w:tcPr>
            <w:tcW w:w="4924" w:type="dxa"/>
            <w:gridSpan w:val="3"/>
            <w:vAlign w:val="center"/>
          </w:tcPr>
          <w:p w14:paraId="0A85A94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val="en-US" w:eastAsia="zh-CN"/>
              </w:rPr>
              <w:t>5</w:t>
            </w:r>
          </w:p>
        </w:tc>
      </w:tr>
      <w:tr w14:paraId="56F2B45B">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14:paraId="4335E6CB">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2608" w:type="dxa"/>
            <w:vAlign w:val="center"/>
          </w:tcPr>
          <w:p w14:paraId="2FF2C6A4">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电子文档</w:t>
            </w:r>
          </w:p>
        </w:tc>
        <w:tc>
          <w:tcPr>
            <w:tcW w:w="4924" w:type="dxa"/>
            <w:gridSpan w:val="3"/>
            <w:vAlign w:val="center"/>
          </w:tcPr>
          <w:p w14:paraId="168732AF">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14:paraId="225C584D">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5"/>
            <w:vAlign w:val="center"/>
          </w:tcPr>
          <w:p w14:paraId="6568CF59">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三、开标与评标</w:t>
            </w:r>
          </w:p>
        </w:tc>
      </w:tr>
      <w:tr w14:paraId="46D36986">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14:paraId="3D0CE7A7">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16</w:t>
            </w:r>
          </w:p>
        </w:tc>
        <w:tc>
          <w:tcPr>
            <w:tcW w:w="7532" w:type="dxa"/>
            <w:gridSpan w:val="4"/>
            <w:vAlign w:val="center"/>
          </w:tcPr>
          <w:p w14:paraId="286C224A">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color w:val="auto"/>
                <w:sz w:val="21"/>
                <w:szCs w:val="21"/>
                <w:highlight w:val="none"/>
              </w:rPr>
            </w:pPr>
            <w:r>
              <w:rPr>
                <w:rFonts w:hint="eastAsia" w:ascii="宋体" w:hAnsi="宋体" w:eastAsia="宋体"/>
                <w:b/>
                <w:color w:val="auto"/>
                <w:sz w:val="21"/>
                <w:szCs w:val="21"/>
                <w:highlight w:val="none"/>
              </w:rPr>
              <w:t>本项目评标方法</w:t>
            </w:r>
          </w:p>
        </w:tc>
      </w:tr>
      <w:tr w14:paraId="3BFCF40C">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2A539E1F">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1F9BF249">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color w:val="auto"/>
                <w:sz w:val="21"/>
                <w:szCs w:val="21"/>
                <w:highlight w:val="none"/>
              </w:rPr>
              <w:t>综合评分法。</w:t>
            </w:r>
          </w:p>
        </w:tc>
      </w:tr>
      <w:tr w14:paraId="32283D75">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14:paraId="5E281FF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17</w:t>
            </w:r>
          </w:p>
        </w:tc>
        <w:tc>
          <w:tcPr>
            <w:tcW w:w="7532" w:type="dxa"/>
            <w:gridSpan w:val="4"/>
            <w:vAlign w:val="center"/>
          </w:tcPr>
          <w:p w14:paraId="2E6449E1">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综合评分法评分因素和权重分值</w:t>
            </w:r>
          </w:p>
        </w:tc>
      </w:tr>
      <w:tr w14:paraId="324EB3AB">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14:paraId="14A0FBBF">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7A0D853B">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color w:val="auto"/>
                <w:sz w:val="21"/>
                <w:szCs w:val="21"/>
                <w:highlight w:val="none"/>
              </w:rPr>
              <w:t>见附表</w:t>
            </w:r>
            <w:r>
              <w:rPr>
                <w:rFonts w:hint="eastAsia" w:ascii="宋体" w:hAnsi="宋体" w:eastAsia="宋体"/>
                <w:color w:val="auto"/>
                <w:sz w:val="21"/>
                <w:szCs w:val="21"/>
                <w:highlight w:val="none"/>
                <w:lang w:val="en-US" w:eastAsia="zh-CN"/>
              </w:rPr>
              <w:t>二</w:t>
            </w:r>
            <w:r>
              <w:rPr>
                <w:rFonts w:hint="eastAsia" w:ascii="宋体" w:hAnsi="宋体" w:eastAsia="宋体"/>
                <w:color w:val="auto"/>
                <w:sz w:val="21"/>
                <w:szCs w:val="21"/>
                <w:highlight w:val="none"/>
              </w:rPr>
              <w:t>。</w:t>
            </w:r>
          </w:p>
        </w:tc>
      </w:tr>
      <w:tr w14:paraId="69F5DC7C">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17" w:hRule="atLeast"/>
        </w:trPr>
        <w:tc>
          <w:tcPr>
            <w:tcW w:w="8410" w:type="dxa"/>
            <w:gridSpan w:val="5"/>
            <w:vAlign w:val="center"/>
          </w:tcPr>
          <w:p w14:paraId="3DE1B71F">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四、授予合同</w:t>
            </w:r>
          </w:p>
        </w:tc>
      </w:tr>
      <w:tr w14:paraId="39C1821A">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vAlign w:val="center"/>
          </w:tcPr>
          <w:p w14:paraId="6596561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18</w:t>
            </w:r>
          </w:p>
        </w:tc>
        <w:tc>
          <w:tcPr>
            <w:tcW w:w="7532" w:type="dxa"/>
            <w:gridSpan w:val="4"/>
            <w:shd w:val="clear" w:color="auto" w:fill="auto"/>
            <w:vAlign w:val="center"/>
          </w:tcPr>
          <w:p w14:paraId="6CB88DFC">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履约保证金（如有需要）</w:t>
            </w:r>
          </w:p>
        </w:tc>
      </w:tr>
      <w:tr w14:paraId="58264235">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vAlign w:val="center"/>
          </w:tcPr>
          <w:p w14:paraId="23B55CA7">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shd w:val="clear" w:color="auto" w:fill="auto"/>
            <w:vAlign w:val="center"/>
          </w:tcPr>
          <w:p w14:paraId="63652C6D">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color w:val="auto"/>
                <w:sz w:val="21"/>
                <w:szCs w:val="21"/>
                <w:highlight w:val="none"/>
              </w:rPr>
              <w:t>履约保证金的数额为政府采购合同金额的5%。</w:t>
            </w:r>
          </w:p>
        </w:tc>
      </w:tr>
      <w:tr w14:paraId="1A26E1BD">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65" w:hRule="atLeast"/>
        </w:trPr>
        <w:tc>
          <w:tcPr>
            <w:tcW w:w="878" w:type="dxa"/>
            <w:vMerge w:val="restart"/>
            <w:vAlign w:val="center"/>
          </w:tcPr>
          <w:p w14:paraId="742C712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19</w:t>
            </w:r>
          </w:p>
        </w:tc>
        <w:tc>
          <w:tcPr>
            <w:tcW w:w="7532" w:type="dxa"/>
            <w:gridSpan w:val="4"/>
            <w:vAlign w:val="center"/>
          </w:tcPr>
          <w:p w14:paraId="5ED8B173">
            <w:pPr>
              <w:keepNext w:val="0"/>
              <w:keepLines w:val="0"/>
              <w:pageBreakBefore w:val="0"/>
              <w:kinsoku/>
              <w:wordWrap/>
              <w:overflowPunct/>
              <w:topLinePunct w:val="0"/>
              <w:autoSpaceDE/>
              <w:autoSpaceDN/>
              <w:bidi w:val="0"/>
              <w:adjustRightInd/>
              <w:snapToGrid/>
              <w:spacing w:after="0" w:line="300" w:lineRule="exact"/>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中标服务费</w:t>
            </w:r>
          </w:p>
        </w:tc>
      </w:tr>
      <w:tr w14:paraId="4814A067">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14:paraId="23998C0F">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4282D7EA">
            <w:pPr>
              <w:keepNext w:val="0"/>
              <w:keepLines w:val="0"/>
              <w:pageBreakBefore w:val="0"/>
              <w:widowControl w:val="0"/>
              <w:tabs>
                <w:tab w:val="left" w:pos="907"/>
              </w:tabs>
              <w:kinsoku/>
              <w:wordWrap/>
              <w:overflowPunct/>
              <w:topLinePunct w:val="0"/>
              <w:autoSpaceDE/>
              <w:autoSpaceDN/>
              <w:bidi w:val="0"/>
              <w:adjustRightInd/>
              <w:snapToGrid/>
              <w:spacing w:after="0" w:line="3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（1）中标服务费</w:t>
            </w:r>
            <w:r>
              <w:rPr>
                <w:rFonts w:hint="eastAsia" w:ascii="宋体" w:hAnsi="宋体" w:eastAsia="宋体"/>
                <w:color w:val="auto"/>
                <w:sz w:val="21"/>
                <w:szCs w:val="21"/>
                <w:highlight w:val="none"/>
                <w:lang w:eastAsia="zh-CN"/>
              </w:rPr>
              <w:t>参照</w:t>
            </w:r>
            <w:r>
              <w:rPr>
                <w:rFonts w:hint="eastAsia" w:ascii="宋体" w:hAnsi="宋体" w:eastAsia="宋体"/>
                <w:color w:val="auto"/>
                <w:sz w:val="21"/>
                <w:szCs w:val="21"/>
                <w:highlight w:val="none"/>
              </w:rPr>
              <w:t>国家计委[计价格[2002]1980号]文和国家发改委[发改价格[2011]534号]文及相关规定向中标单位收取，按差额定率累进法计算，以中标通知书中确定的中标总金额作为收费的计算</w:t>
            </w:r>
            <w:r>
              <w:rPr>
                <w:rFonts w:hint="eastAsia" w:ascii="宋体" w:hAnsi="宋体" w:eastAsia="宋体"/>
                <w:color w:val="auto"/>
                <w:sz w:val="21"/>
                <w:szCs w:val="21"/>
                <w:highlight w:val="none"/>
                <w:lang w:eastAsia="zh-CN"/>
              </w:rPr>
              <w:t>参照</w:t>
            </w:r>
            <w:r>
              <w:rPr>
                <w:rFonts w:hint="eastAsia" w:ascii="宋体" w:hAnsi="宋体" w:eastAsia="宋体"/>
                <w:color w:val="auto"/>
                <w:sz w:val="21"/>
                <w:szCs w:val="21"/>
                <w:highlight w:val="none"/>
              </w:rPr>
              <w:t>；中标服务费最低收费标准</w:t>
            </w:r>
            <w:r>
              <w:rPr>
                <w:rFonts w:hint="eastAsia" w:ascii="宋体" w:hAnsi="宋体" w:eastAsia="宋体"/>
                <w:color w:val="auto"/>
                <w:sz w:val="21"/>
                <w:szCs w:val="21"/>
                <w:highlight w:val="none"/>
                <w:lang w:eastAsia="zh-CN"/>
              </w:rPr>
              <w:t>为陆仟元整</w:t>
            </w:r>
            <w:r>
              <w:rPr>
                <w:rFonts w:hint="eastAsia" w:ascii="宋体" w:hAnsi="宋体" w:eastAsia="宋体"/>
                <w:color w:val="auto"/>
                <w:sz w:val="21"/>
                <w:szCs w:val="21"/>
                <w:highlight w:val="none"/>
              </w:rPr>
              <w:t>。</w:t>
            </w:r>
          </w:p>
        </w:tc>
      </w:tr>
      <w:tr w14:paraId="2628EF98">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14:paraId="5BDE26C6">
            <w:pPr>
              <w:keepNext w:val="0"/>
              <w:keepLines w:val="0"/>
              <w:pageBreakBefore w:val="0"/>
              <w:kinsoku/>
              <w:wordWrap/>
              <w:overflowPunct/>
              <w:topLinePunct w:val="0"/>
              <w:autoSpaceDE/>
              <w:autoSpaceDN/>
              <w:bidi w:val="0"/>
              <w:adjustRightInd/>
              <w:snapToGrid/>
              <w:spacing w:after="0" w:line="300" w:lineRule="exact"/>
              <w:jc w:val="center"/>
              <w:textAlignment w:val="auto"/>
              <w:rPr>
                <w:rFonts w:ascii="宋体" w:hAnsi="宋体" w:eastAsia="宋体"/>
                <w:color w:val="auto"/>
                <w:sz w:val="21"/>
                <w:szCs w:val="21"/>
                <w:highlight w:val="none"/>
              </w:rPr>
            </w:pPr>
          </w:p>
        </w:tc>
        <w:tc>
          <w:tcPr>
            <w:tcW w:w="7532" w:type="dxa"/>
            <w:gridSpan w:val="4"/>
            <w:vAlign w:val="center"/>
          </w:tcPr>
          <w:p w14:paraId="4356787F">
            <w:pPr>
              <w:keepNext w:val="0"/>
              <w:keepLines w:val="0"/>
              <w:pageBreakBefore w:val="0"/>
              <w:widowControl w:val="0"/>
              <w:tabs>
                <w:tab w:val="left" w:pos="907"/>
              </w:tabs>
              <w:kinsoku/>
              <w:wordWrap/>
              <w:overflowPunct/>
              <w:topLinePunct w:val="0"/>
              <w:autoSpaceDE/>
              <w:autoSpaceDN/>
              <w:bidi w:val="0"/>
              <w:adjustRightInd/>
              <w:snapToGrid/>
              <w:spacing w:after="0" w:line="3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（2）中标服务费以转账或现金的形式支付。采购代理机构服务费汇入账号：</w:t>
            </w:r>
          </w:p>
          <w:p w14:paraId="44CBB3FF">
            <w:pPr>
              <w:keepNext w:val="0"/>
              <w:keepLines w:val="0"/>
              <w:pageBreakBefore w:val="0"/>
              <w:widowControl w:val="0"/>
              <w:tabs>
                <w:tab w:val="left" w:pos="907"/>
              </w:tabs>
              <w:kinsoku/>
              <w:wordWrap/>
              <w:overflowPunct/>
              <w:topLinePunct w:val="0"/>
              <w:autoSpaceDE/>
              <w:autoSpaceDN/>
              <w:bidi w:val="0"/>
              <w:adjustRightInd/>
              <w:snapToGrid/>
              <w:spacing w:after="0" w:line="3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收 款 人：三方诚信招标有限公司东莞分公司</w:t>
            </w:r>
          </w:p>
          <w:p w14:paraId="3AD04705">
            <w:pPr>
              <w:keepNext w:val="0"/>
              <w:keepLines w:val="0"/>
              <w:pageBreakBefore w:val="0"/>
              <w:widowControl w:val="0"/>
              <w:tabs>
                <w:tab w:val="left" w:pos="907"/>
              </w:tabs>
              <w:kinsoku/>
              <w:wordWrap/>
              <w:overflowPunct/>
              <w:topLinePunct w:val="0"/>
              <w:autoSpaceDE/>
              <w:autoSpaceDN/>
              <w:bidi w:val="0"/>
              <w:adjustRightInd/>
              <w:snapToGrid/>
              <w:spacing w:after="0" w:line="3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开户银行：中国工商银行东莞市分行</w:t>
            </w:r>
          </w:p>
          <w:p w14:paraId="6D101B6A">
            <w:pPr>
              <w:keepNext w:val="0"/>
              <w:keepLines w:val="0"/>
              <w:pageBreakBefore w:val="0"/>
              <w:widowControl w:val="0"/>
              <w:tabs>
                <w:tab w:val="left" w:pos="907"/>
              </w:tabs>
              <w:kinsoku/>
              <w:wordWrap/>
              <w:overflowPunct/>
              <w:topLinePunct w:val="0"/>
              <w:autoSpaceDE/>
              <w:autoSpaceDN/>
              <w:bidi w:val="0"/>
              <w:adjustRightInd/>
              <w:snapToGrid/>
              <w:spacing w:after="0" w:line="3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账　　号：2010021309900018461</w:t>
            </w:r>
          </w:p>
        </w:tc>
      </w:tr>
      <w:tr w14:paraId="5A654D97">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5"/>
            <w:vAlign w:val="center"/>
          </w:tcPr>
          <w:p w14:paraId="7BB448D3">
            <w:pPr>
              <w:keepNext w:val="0"/>
              <w:keepLines w:val="0"/>
              <w:pageBreakBefore w:val="0"/>
              <w:widowControl w:val="0"/>
              <w:tabs>
                <w:tab w:val="left" w:pos="907"/>
              </w:tabs>
              <w:kinsoku/>
              <w:wordWrap/>
              <w:overflowPunct/>
              <w:topLinePunct w:val="0"/>
              <w:autoSpaceDE/>
              <w:autoSpaceDN/>
              <w:bidi w:val="0"/>
              <w:adjustRightInd/>
              <w:snapToGrid/>
              <w:spacing w:after="0" w:line="300" w:lineRule="exact"/>
              <w:ind w:firstLine="420" w:firstLineChars="200"/>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注：本表关于要采购项目的具体资料，是对投标人须知的具体补充和修改，如有矛盾，应以本资料表为准。</w:t>
            </w:r>
          </w:p>
        </w:tc>
      </w:tr>
    </w:tbl>
    <w:p w14:paraId="2D3B3D36">
      <w:pPr>
        <w:pageBreakBefore w:val="0"/>
        <w:kinsoku/>
        <w:topLinePunct w:val="0"/>
        <w:autoSpaceDE/>
        <w:autoSpaceDN/>
        <w:bidi w:val="0"/>
        <w:spacing w:line="360" w:lineRule="auto"/>
        <w:jc w:val="center"/>
        <w:rPr>
          <w:rFonts w:hint="eastAsia"/>
          <w:color w:val="auto"/>
          <w:highlight w:val="none"/>
        </w:rPr>
      </w:pPr>
    </w:p>
    <w:p w14:paraId="4978BB5C">
      <w:pPr>
        <w:rPr>
          <w:rFonts w:hint="eastAsia" w:ascii="宋体" w:hAnsi="宋体" w:eastAsia="宋体" w:cs="宋体"/>
          <w:color w:val="auto"/>
          <w:sz w:val="24"/>
          <w:szCs w:val="24"/>
          <w:highlight w:val="none"/>
        </w:rPr>
      </w:pPr>
      <w:bookmarkStart w:id="4" w:name="_Toc27394"/>
      <w:r>
        <w:rPr>
          <w:rFonts w:hint="eastAsia" w:ascii="宋体" w:hAnsi="宋体" w:eastAsia="宋体" w:cs="宋体"/>
          <w:color w:val="auto"/>
          <w:sz w:val="24"/>
          <w:szCs w:val="24"/>
          <w:highlight w:val="none"/>
        </w:rPr>
        <w:br w:type="page"/>
      </w:r>
    </w:p>
    <w:p w14:paraId="1ADEA14E">
      <w:pPr>
        <w:pStyle w:val="4"/>
        <w:pageBreakBefore w:val="0"/>
        <w:kinsoku/>
        <w:wordWrap/>
        <w:overflowPunct/>
        <w:topLinePunct w:val="0"/>
        <w:autoSpaceDE/>
        <w:autoSpaceDN/>
        <w:bidi w:val="0"/>
        <w:spacing w:before="0" w:after="0" w:line="360" w:lineRule="auto"/>
        <w:jc w:val="center"/>
        <w:textAlignment w:val="auto"/>
        <w:rPr>
          <w:rFonts w:hint="eastAsia"/>
          <w:color w:val="auto"/>
          <w:sz w:val="28"/>
          <w:szCs w:val="28"/>
          <w:highlight w:val="none"/>
        </w:rPr>
      </w:pPr>
      <w:r>
        <w:rPr>
          <w:rFonts w:hint="eastAsia" w:ascii="宋体" w:hAnsi="宋体" w:eastAsia="宋体" w:cs="宋体"/>
          <w:color w:val="auto"/>
          <w:sz w:val="24"/>
          <w:szCs w:val="24"/>
          <w:highlight w:val="none"/>
        </w:rPr>
        <w:t>附表二：商务技术评分及价格权重表</w:t>
      </w:r>
      <w:bookmarkEnd w:id="4"/>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56"/>
        <w:gridCol w:w="757"/>
        <w:gridCol w:w="131"/>
        <w:gridCol w:w="5488"/>
      </w:tblGrid>
      <w:tr w14:paraId="4B62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EC609B3">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456" w:type="dxa"/>
            <w:tcBorders>
              <w:top w:val="single" w:color="auto" w:sz="4" w:space="0"/>
              <w:left w:val="single" w:color="auto" w:sz="4" w:space="0"/>
              <w:bottom w:val="single" w:color="auto" w:sz="4" w:space="0"/>
              <w:right w:val="single" w:color="auto" w:sz="4" w:space="0"/>
            </w:tcBorders>
            <w:vAlign w:val="center"/>
          </w:tcPr>
          <w:p w14:paraId="0B7FC019">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757" w:type="dxa"/>
            <w:tcBorders>
              <w:top w:val="single" w:color="auto" w:sz="4" w:space="0"/>
              <w:left w:val="single" w:color="auto" w:sz="4" w:space="0"/>
              <w:bottom w:val="single" w:color="auto" w:sz="4" w:space="0"/>
              <w:right w:val="single" w:color="auto" w:sz="4" w:space="0"/>
            </w:tcBorders>
            <w:vAlign w:val="center"/>
          </w:tcPr>
          <w:p w14:paraId="28D92D6C">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619" w:type="dxa"/>
            <w:gridSpan w:val="2"/>
            <w:tcBorders>
              <w:top w:val="single" w:color="auto" w:sz="4" w:space="0"/>
              <w:left w:val="single" w:color="auto" w:sz="4" w:space="0"/>
              <w:bottom w:val="single" w:color="auto" w:sz="4" w:space="0"/>
              <w:right w:val="single" w:color="auto" w:sz="4" w:space="0"/>
            </w:tcBorders>
            <w:vAlign w:val="center"/>
          </w:tcPr>
          <w:p w14:paraId="11A34063">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14:paraId="2E7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4B46BDBB">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b/>
                <w:bCs/>
                <w:color w:val="auto"/>
                <w:sz w:val="21"/>
                <w:szCs w:val="21"/>
                <w:highlight w:val="none"/>
                <w:lang w:eastAsia="zh-CN"/>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40分</w:t>
            </w:r>
            <w:r>
              <w:rPr>
                <w:rFonts w:hint="eastAsia" w:ascii="宋体" w:eastAsia="宋体" w:cs="宋体"/>
                <w:b/>
                <w:bCs/>
                <w:color w:val="auto"/>
                <w:sz w:val="21"/>
                <w:szCs w:val="21"/>
                <w:highlight w:val="none"/>
                <w:lang w:eastAsia="zh-CN"/>
              </w:rPr>
              <w:t>）</w:t>
            </w:r>
          </w:p>
        </w:tc>
      </w:tr>
      <w:tr w14:paraId="25C8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690" w:type="dxa"/>
            <w:tcBorders>
              <w:top w:val="single" w:color="auto" w:sz="4" w:space="0"/>
              <w:left w:val="single" w:color="auto" w:sz="4" w:space="0"/>
              <w:right w:val="single" w:color="auto" w:sz="4" w:space="0"/>
            </w:tcBorders>
            <w:vAlign w:val="center"/>
          </w:tcPr>
          <w:p w14:paraId="1234CE6E">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456" w:type="dxa"/>
            <w:tcBorders>
              <w:top w:val="single" w:color="auto" w:sz="4" w:space="0"/>
              <w:left w:val="single" w:color="auto" w:sz="4" w:space="0"/>
              <w:right w:val="single" w:color="auto" w:sz="4" w:space="0"/>
            </w:tcBorders>
            <w:vAlign w:val="center"/>
          </w:tcPr>
          <w:p w14:paraId="06B2B65A">
            <w:pPr>
              <w:widowControl w:val="0"/>
              <w:adjustRightInd/>
              <w:snapToGrid/>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获奖情况</w:t>
            </w:r>
          </w:p>
        </w:tc>
        <w:tc>
          <w:tcPr>
            <w:tcW w:w="757" w:type="dxa"/>
            <w:tcBorders>
              <w:top w:val="single" w:color="auto" w:sz="4" w:space="0"/>
              <w:left w:val="single" w:color="auto" w:sz="4" w:space="0"/>
              <w:bottom w:val="single" w:color="auto" w:sz="4" w:space="0"/>
              <w:right w:val="single" w:color="auto" w:sz="4" w:space="0"/>
            </w:tcBorders>
            <w:vAlign w:val="center"/>
          </w:tcPr>
          <w:p w14:paraId="2A240BBC">
            <w:pPr>
              <w:pStyle w:val="29"/>
              <w:spacing w:line="34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10</w:t>
            </w:r>
          </w:p>
        </w:tc>
        <w:tc>
          <w:tcPr>
            <w:tcW w:w="5619" w:type="dxa"/>
            <w:gridSpan w:val="2"/>
            <w:tcBorders>
              <w:top w:val="single" w:color="auto" w:sz="4" w:space="0"/>
              <w:left w:val="single" w:color="auto" w:sz="4" w:space="0"/>
              <w:bottom w:val="single" w:color="auto" w:sz="4" w:space="0"/>
              <w:right w:val="single" w:color="auto" w:sz="4" w:space="0"/>
            </w:tcBorders>
            <w:vAlign w:val="top"/>
          </w:tcPr>
          <w:p w14:paraId="13581F98">
            <w:pPr>
              <w:widowControl w:val="0"/>
              <w:adjustRightInd/>
              <w:snapToGrid/>
              <w:spacing w:before="72" w:beforeLines="20" w:after="72" w:afterLines="20"/>
              <w:ind w:firstLine="420" w:firstLineChars="200"/>
              <w:jc w:val="both"/>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以单位名义获得的集体荣誉或奖励：市级政府部门颁发的相关荣誉或奖励，每提供1个得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分；获得省级政府部门颁发的相关荣誉或奖励，每提供1个得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分；获得国家级政府部门颁发的相关荣誉或奖励，每提供1个得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zh-CN"/>
              </w:rPr>
              <w:t xml:space="preserve">分。最高得10分。 </w:t>
            </w:r>
          </w:p>
          <w:p w14:paraId="436986A3">
            <w:pPr>
              <w:widowControl w:val="0"/>
              <w:adjustRightInd/>
              <w:snapToGrid/>
              <w:spacing w:before="72" w:beforeLines="20" w:after="72" w:afterLines="20"/>
              <w:ind w:firstLine="420" w:firstLineChars="200"/>
              <w:jc w:val="both"/>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注：须提供相关证明材料复印件加盖投标人公章。</w:t>
            </w:r>
          </w:p>
        </w:tc>
      </w:tr>
      <w:tr w14:paraId="5B83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003C314">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456" w:type="dxa"/>
            <w:tcBorders>
              <w:top w:val="single" w:color="auto" w:sz="4" w:space="0"/>
              <w:left w:val="single" w:color="auto" w:sz="4" w:space="0"/>
              <w:bottom w:val="single" w:color="auto" w:sz="4" w:space="0"/>
              <w:right w:val="single" w:color="auto" w:sz="4" w:space="0"/>
            </w:tcBorders>
            <w:vAlign w:val="center"/>
          </w:tcPr>
          <w:p w14:paraId="420DCD60">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业绩经验</w:t>
            </w:r>
          </w:p>
        </w:tc>
        <w:tc>
          <w:tcPr>
            <w:tcW w:w="757" w:type="dxa"/>
            <w:tcBorders>
              <w:top w:val="single" w:color="auto" w:sz="4" w:space="0"/>
              <w:left w:val="single" w:color="auto" w:sz="4" w:space="0"/>
              <w:bottom w:val="single" w:color="auto" w:sz="4" w:space="0"/>
              <w:right w:val="single" w:color="auto" w:sz="4" w:space="0"/>
            </w:tcBorders>
            <w:vAlign w:val="center"/>
          </w:tcPr>
          <w:p w14:paraId="4D747041">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15</w:t>
            </w:r>
          </w:p>
        </w:tc>
        <w:tc>
          <w:tcPr>
            <w:tcW w:w="5619" w:type="dxa"/>
            <w:gridSpan w:val="2"/>
            <w:tcBorders>
              <w:top w:val="single" w:color="auto" w:sz="4" w:space="0"/>
              <w:left w:val="single" w:color="auto" w:sz="4" w:space="0"/>
              <w:bottom w:val="single" w:color="auto" w:sz="4" w:space="0"/>
              <w:right w:val="single" w:color="auto" w:sz="4" w:space="0"/>
            </w:tcBorders>
            <w:vAlign w:val="center"/>
          </w:tcPr>
          <w:p w14:paraId="3CD3D1B3">
            <w:pPr>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投标人承接相关的辅导服务项目，每提供一个合同业绩得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分。本项最高得</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p w14:paraId="3533FD34">
            <w:pPr>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注：须同时提供双方签订的合同、合同期内任意两张发票及评估结果通知，复印件加盖投标人公章。</w:t>
            </w:r>
          </w:p>
        </w:tc>
      </w:tr>
      <w:tr w14:paraId="53DE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C8C269E">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456" w:type="dxa"/>
            <w:tcBorders>
              <w:top w:val="single" w:color="auto" w:sz="4" w:space="0"/>
              <w:left w:val="single" w:color="auto" w:sz="4" w:space="0"/>
              <w:bottom w:val="single" w:color="auto" w:sz="4" w:space="0"/>
              <w:right w:val="single" w:color="auto" w:sz="4" w:space="0"/>
            </w:tcBorders>
            <w:vAlign w:val="center"/>
          </w:tcPr>
          <w:p w14:paraId="7DA1F719">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综合实力</w:t>
            </w:r>
          </w:p>
        </w:tc>
        <w:tc>
          <w:tcPr>
            <w:tcW w:w="757" w:type="dxa"/>
            <w:tcBorders>
              <w:top w:val="single" w:color="auto" w:sz="4" w:space="0"/>
              <w:left w:val="single" w:color="auto" w:sz="4" w:space="0"/>
              <w:bottom w:val="single" w:color="auto" w:sz="4" w:space="0"/>
              <w:right w:val="single" w:color="auto" w:sz="4" w:space="0"/>
            </w:tcBorders>
            <w:vAlign w:val="center"/>
          </w:tcPr>
          <w:p w14:paraId="78F93CAC">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15</w:t>
            </w:r>
          </w:p>
        </w:tc>
        <w:tc>
          <w:tcPr>
            <w:tcW w:w="5619" w:type="dxa"/>
            <w:gridSpan w:val="2"/>
            <w:tcBorders>
              <w:top w:val="single" w:color="auto" w:sz="4" w:space="0"/>
              <w:left w:val="single" w:color="auto" w:sz="4" w:space="0"/>
              <w:bottom w:val="single" w:color="auto" w:sz="4" w:space="0"/>
              <w:right w:val="single" w:color="auto" w:sz="4" w:space="0"/>
            </w:tcBorders>
            <w:vAlign w:val="center"/>
          </w:tcPr>
          <w:p w14:paraId="570BE1F9">
            <w:pPr>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投标人获得由市级或以上政府部门或其委托的第三方机构出具的年度社会工作发展综合评估等级：优秀等级的，得</w:t>
            </w:r>
            <w:r>
              <w:rPr>
                <w:rFonts w:hint="eastAsia" w:ascii="宋体" w:hAnsi="宋体" w:eastAsia="宋体" w:cs="宋体"/>
                <w:bCs/>
                <w:color w:val="auto"/>
                <w:sz w:val="21"/>
                <w:szCs w:val="21"/>
                <w:highlight w:val="none"/>
                <w:lang w:val="en-US" w:eastAsia="zh-CN"/>
              </w:rPr>
              <w:t>5分；良好等级的，得3分；合格等级的，得1分，其他情况不得分。历年评估结果可累计，最高得15分。</w:t>
            </w:r>
          </w:p>
          <w:p w14:paraId="563ECDB1">
            <w:pPr>
              <w:pStyle w:val="2"/>
              <w:rPr>
                <w:rFonts w:hint="default"/>
                <w:color w:val="auto"/>
                <w:highlight w:val="none"/>
                <w:lang w:val="en-US" w:eastAsia="zh-CN"/>
              </w:rPr>
            </w:pPr>
            <w:r>
              <w:rPr>
                <w:rFonts w:hint="eastAsia" w:hAnsi="宋体" w:cs="宋体"/>
                <w:bCs/>
                <w:color w:val="auto"/>
                <w:sz w:val="21"/>
                <w:szCs w:val="21"/>
                <w:highlight w:val="none"/>
                <w:lang w:val="en-US" w:eastAsia="zh-CN"/>
              </w:rPr>
              <w:t xml:space="preserve">    </w:t>
            </w:r>
            <w:r>
              <w:rPr>
                <w:rFonts w:hint="eastAsia" w:ascii="宋体" w:hAnsi="宋体" w:eastAsia="宋体" w:cs="宋体"/>
                <w:b w:val="0"/>
                <w:bCs/>
                <w:color w:val="auto"/>
                <w:kern w:val="0"/>
                <w:sz w:val="21"/>
                <w:szCs w:val="21"/>
                <w:highlight w:val="none"/>
                <w:lang w:val="en-US" w:eastAsia="zh-CN" w:bidi="ar-SA"/>
              </w:rPr>
              <w:t>注：须提供社会工作发展综合评估结果复印件并加盖投标人公章。</w:t>
            </w:r>
          </w:p>
        </w:tc>
      </w:tr>
      <w:tr w14:paraId="407E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679F8A2D">
            <w:pPr>
              <w:pStyle w:val="29"/>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50分</w:t>
            </w:r>
            <w:r>
              <w:rPr>
                <w:rFonts w:hint="eastAsia" w:ascii="宋体" w:eastAsia="宋体" w:cs="宋体"/>
                <w:b/>
                <w:bCs/>
                <w:color w:val="auto"/>
                <w:sz w:val="21"/>
                <w:szCs w:val="21"/>
                <w:highlight w:val="none"/>
                <w:lang w:eastAsia="zh-CN"/>
              </w:rPr>
              <w:t>）</w:t>
            </w:r>
          </w:p>
        </w:tc>
      </w:tr>
      <w:tr w14:paraId="39CA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2574B61F">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456" w:type="dxa"/>
            <w:tcBorders>
              <w:top w:val="single" w:color="auto" w:sz="4" w:space="0"/>
              <w:left w:val="single" w:color="auto" w:sz="4" w:space="0"/>
              <w:bottom w:val="single" w:color="auto" w:sz="4" w:space="0"/>
              <w:right w:val="single" w:color="auto" w:sz="4" w:space="0"/>
            </w:tcBorders>
            <w:vAlign w:val="center"/>
          </w:tcPr>
          <w:p w14:paraId="3D32186C">
            <w:pPr>
              <w:widowControl w:val="0"/>
              <w:adjustRightInd/>
              <w:snapToGrid/>
              <w:spacing w:after="0"/>
              <w:jc w:val="center"/>
              <w:rPr>
                <w:rFonts w:ascii="宋体" w:eastAsia="宋体" w:cs="宋体"/>
                <w:color w:val="auto"/>
                <w:sz w:val="21"/>
                <w:szCs w:val="21"/>
                <w:highlight w:val="none"/>
              </w:rPr>
            </w:pPr>
            <w:r>
              <w:rPr>
                <w:rFonts w:hint="eastAsia" w:ascii="宋体" w:hAnsi="宋体" w:eastAsia="宋体" w:cs="宋体"/>
                <w:color w:val="auto"/>
                <w:kern w:val="2"/>
                <w:sz w:val="21"/>
                <w:szCs w:val="21"/>
                <w:highlight w:val="none"/>
              </w:rPr>
              <w:t>对项目的理解</w:t>
            </w:r>
          </w:p>
        </w:tc>
        <w:tc>
          <w:tcPr>
            <w:tcW w:w="757" w:type="dxa"/>
            <w:tcBorders>
              <w:top w:val="single" w:color="auto" w:sz="4" w:space="0"/>
              <w:left w:val="single" w:color="auto" w:sz="4" w:space="0"/>
              <w:bottom w:val="single" w:color="auto" w:sz="4" w:space="0"/>
              <w:right w:val="single" w:color="auto" w:sz="4" w:space="0"/>
            </w:tcBorders>
            <w:vAlign w:val="center"/>
          </w:tcPr>
          <w:p w14:paraId="33C2480D">
            <w:pPr>
              <w:widowControl w:val="0"/>
              <w:adjustRightInd/>
              <w:snapToGrid/>
              <w:spacing w:after="0"/>
              <w:jc w:val="center"/>
              <w:rPr>
                <w:rFonts w:hint="default" w:asci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5619" w:type="dxa"/>
            <w:gridSpan w:val="2"/>
            <w:tcBorders>
              <w:top w:val="single" w:color="auto" w:sz="4" w:space="0"/>
              <w:left w:val="single" w:color="auto" w:sz="4" w:space="0"/>
              <w:bottom w:val="single" w:color="auto" w:sz="4" w:space="0"/>
              <w:right w:val="single" w:color="auto" w:sz="4" w:space="0"/>
            </w:tcBorders>
            <w:vAlign w:val="top"/>
          </w:tcPr>
          <w:p w14:paraId="0336D516">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 xml:space="preserve">根据投标人对本项目的总体理解和把握（包括但不限于对项目工作目标、内容的理解等），与本项目实际情况的符合性进行综合评审: </w:t>
            </w:r>
          </w:p>
          <w:p w14:paraId="59046ECE">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投标人对本项目的总体理解和把握充分、合理，与本项目实际情况相符合的，得</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lang w:val="zh-CN"/>
              </w:rPr>
              <w:t xml:space="preserve">分； </w:t>
            </w:r>
          </w:p>
          <w:p w14:paraId="30209CD9">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投标人对本项目的总体理解和把握较充分、合理，与本项目实际情况较符合的，得</w:t>
            </w:r>
            <w:r>
              <w:rPr>
                <w:rFonts w:hint="eastAsia" w:ascii="宋体" w:hAnsi="宋体" w:eastAsia="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lang w:val="zh-CN"/>
              </w:rPr>
              <w:t xml:space="preserve">分； </w:t>
            </w:r>
          </w:p>
          <w:p w14:paraId="2658AEF4">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投标人对本项目的总体理解和把握一般的，与本项目实际情况符合性一般的，得</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val="zh-CN"/>
              </w:rPr>
              <w:t xml:space="preserve">分； </w:t>
            </w:r>
          </w:p>
          <w:p w14:paraId="046741B5">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 xml:space="preserve">投标人对本项目的总体理解和把握不深刻、不合理，与本项目实际情况不符合的，得1分； </w:t>
            </w:r>
          </w:p>
          <w:p w14:paraId="4CA53047">
            <w:pPr>
              <w:widowControl w:val="0"/>
              <w:adjustRightInd/>
              <w:snapToGrid/>
              <w:spacing w:before="72" w:beforeLines="20" w:after="72" w:afterLines="20"/>
              <w:ind w:firstLine="420" w:firstLineChars="200"/>
              <w:jc w:val="both"/>
              <w:rPr>
                <w:rFonts w:ascii="宋体" w:eastAsia="宋体" w:cs="宋体"/>
                <w:color w:val="auto"/>
                <w:sz w:val="21"/>
                <w:szCs w:val="21"/>
                <w:highlight w:val="none"/>
              </w:rPr>
            </w:pPr>
            <w:r>
              <w:rPr>
                <w:rFonts w:hint="eastAsia" w:ascii="宋体" w:hAnsi="宋体" w:eastAsia="宋体" w:cs="宋体"/>
                <w:bCs/>
                <w:color w:val="auto"/>
                <w:kern w:val="2"/>
                <w:sz w:val="21"/>
                <w:szCs w:val="21"/>
                <w:highlight w:val="none"/>
                <w:lang w:val="zh-CN"/>
              </w:rPr>
              <w:t>无提供相关说明，得0分。</w:t>
            </w:r>
          </w:p>
        </w:tc>
      </w:tr>
      <w:tr w14:paraId="5E2A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CD3C35B">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456" w:type="dxa"/>
            <w:tcBorders>
              <w:top w:val="single" w:color="auto" w:sz="4" w:space="0"/>
              <w:left w:val="single" w:color="auto" w:sz="4" w:space="0"/>
              <w:bottom w:val="single" w:color="auto" w:sz="4" w:space="0"/>
              <w:right w:val="single" w:color="auto" w:sz="4" w:space="0"/>
            </w:tcBorders>
            <w:vAlign w:val="center"/>
          </w:tcPr>
          <w:p w14:paraId="0B6DC86A">
            <w:pPr>
              <w:widowControl w:val="0"/>
              <w:adjustRightInd/>
              <w:snapToGrid/>
              <w:spacing w:after="0"/>
              <w:jc w:val="center"/>
              <w:rPr>
                <w:rFonts w:ascii="宋体" w:eastAsia="宋体" w:cs="宋体"/>
                <w:color w:val="auto"/>
                <w:sz w:val="21"/>
                <w:szCs w:val="21"/>
                <w:highlight w:val="none"/>
              </w:rPr>
            </w:pPr>
            <w:r>
              <w:rPr>
                <w:rFonts w:hint="eastAsia" w:ascii="宋体" w:hAnsi="宋体" w:eastAsia="宋体" w:cs="宋体"/>
                <w:color w:val="auto"/>
                <w:kern w:val="2"/>
                <w:sz w:val="21"/>
                <w:szCs w:val="21"/>
                <w:highlight w:val="none"/>
              </w:rPr>
              <w:t>项目实施方案</w:t>
            </w:r>
          </w:p>
        </w:tc>
        <w:tc>
          <w:tcPr>
            <w:tcW w:w="757" w:type="dxa"/>
            <w:tcBorders>
              <w:top w:val="single" w:color="auto" w:sz="4" w:space="0"/>
              <w:left w:val="single" w:color="auto" w:sz="4" w:space="0"/>
              <w:bottom w:val="single" w:color="auto" w:sz="4" w:space="0"/>
              <w:right w:val="single" w:color="auto" w:sz="4" w:space="0"/>
            </w:tcBorders>
            <w:vAlign w:val="center"/>
          </w:tcPr>
          <w:p w14:paraId="167298F4">
            <w:pPr>
              <w:widowControl w:val="0"/>
              <w:adjustRightInd/>
              <w:snapToGrid/>
              <w:spacing w:after="0"/>
              <w:jc w:val="center"/>
              <w:rPr>
                <w:rFonts w:hint="default" w:asci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5619" w:type="dxa"/>
            <w:gridSpan w:val="2"/>
            <w:tcBorders>
              <w:top w:val="single" w:color="auto" w:sz="4" w:space="0"/>
              <w:left w:val="single" w:color="auto" w:sz="4" w:space="0"/>
              <w:bottom w:val="single" w:color="auto" w:sz="4" w:space="0"/>
              <w:right w:val="single" w:color="auto" w:sz="4" w:space="0"/>
            </w:tcBorders>
            <w:vAlign w:val="top"/>
          </w:tcPr>
          <w:p w14:paraId="78ED2E24">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对投标人的项目实施方案（包括但不限于项目实施措施、人员安排、内部管控制度等）进行综合评审：</w:t>
            </w:r>
          </w:p>
          <w:p w14:paraId="39242326">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提供的项目实施方案详细、科学合理、整体框架清晰，阐述内容主次分明，方案可操作性、可行性强的，得</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lang w:val="zh-CN"/>
              </w:rPr>
              <w:t xml:space="preserve">分； </w:t>
            </w:r>
          </w:p>
          <w:p w14:paraId="1C2DF51F">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提供的项目实施方案较详细、合理，整体框架较清晰，阐述内容主次较为分明，方案具有一定的可操作性、可行性较强的，得</w:t>
            </w:r>
            <w:r>
              <w:rPr>
                <w:rFonts w:hint="eastAsia" w:ascii="宋体" w:hAnsi="宋体" w:eastAsia="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lang w:val="zh-CN"/>
              </w:rPr>
              <w:t xml:space="preserve">分； </w:t>
            </w:r>
          </w:p>
          <w:p w14:paraId="00D2D4A8">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提供的项目实施方案基本完善，具有一定的合理性、操作性及可行性，能够基本满足用户需求的，得</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val="zh-CN"/>
              </w:rPr>
              <w:t xml:space="preserve">分； </w:t>
            </w:r>
          </w:p>
          <w:p w14:paraId="319DF7E5">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 xml:space="preserve">提供的项目实施方案不全面或操作性、可行性不高的，得1分； </w:t>
            </w:r>
          </w:p>
          <w:p w14:paraId="4A213724">
            <w:pPr>
              <w:widowControl w:val="0"/>
              <w:adjustRightInd/>
              <w:snapToGrid/>
              <w:spacing w:before="72" w:beforeLines="20" w:after="72" w:afterLines="20"/>
              <w:ind w:firstLine="420" w:firstLineChars="200"/>
              <w:jc w:val="both"/>
              <w:rPr>
                <w:rFonts w:ascii="宋体" w:eastAsia="宋体" w:cs="宋体"/>
                <w:color w:val="auto"/>
                <w:sz w:val="21"/>
                <w:szCs w:val="21"/>
                <w:highlight w:val="none"/>
                <w:lang w:val="zh-CN"/>
              </w:rPr>
            </w:pPr>
            <w:r>
              <w:rPr>
                <w:rFonts w:hint="eastAsia" w:ascii="宋体" w:hAnsi="宋体" w:eastAsia="宋体" w:cs="宋体"/>
                <w:bCs/>
                <w:color w:val="auto"/>
                <w:kern w:val="2"/>
                <w:sz w:val="21"/>
                <w:szCs w:val="21"/>
                <w:highlight w:val="none"/>
                <w:lang w:val="zh-CN"/>
              </w:rPr>
              <w:t>无提供相关方案，得0分。</w:t>
            </w:r>
          </w:p>
        </w:tc>
      </w:tr>
      <w:tr w14:paraId="0944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70E17D4">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456" w:type="dxa"/>
            <w:tcBorders>
              <w:top w:val="single" w:color="auto" w:sz="4" w:space="0"/>
              <w:left w:val="single" w:color="auto" w:sz="4" w:space="0"/>
              <w:bottom w:val="single" w:color="auto" w:sz="4" w:space="0"/>
              <w:right w:val="single" w:color="auto" w:sz="4" w:space="0"/>
            </w:tcBorders>
            <w:vAlign w:val="center"/>
          </w:tcPr>
          <w:p w14:paraId="6D219758">
            <w:pPr>
              <w:widowControl w:val="0"/>
              <w:adjustRightInd/>
              <w:snapToGrid/>
              <w:spacing w:after="0"/>
              <w:jc w:val="center"/>
              <w:rPr>
                <w:rFonts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工作重点、难点及其解决措施</w:t>
            </w:r>
          </w:p>
        </w:tc>
        <w:tc>
          <w:tcPr>
            <w:tcW w:w="757" w:type="dxa"/>
            <w:tcBorders>
              <w:top w:val="single" w:color="auto" w:sz="4" w:space="0"/>
              <w:left w:val="single" w:color="auto" w:sz="4" w:space="0"/>
              <w:bottom w:val="single" w:color="auto" w:sz="4" w:space="0"/>
              <w:right w:val="single" w:color="auto" w:sz="4" w:space="0"/>
            </w:tcBorders>
            <w:vAlign w:val="center"/>
          </w:tcPr>
          <w:p w14:paraId="376C9A5B">
            <w:pPr>
              <w:widowControl w:val="0"/>
              <w:adjustRightInd/>
              <w:snapToGrid/>
              <w:spacing w:after="0"/>
              <w:jc w:val="center"/>
              <w:rPr>
                <w:rFonts w:ascii="宋体" w:eastAsia="宋体" w:cs="宋体"/>
                <w:color w:val="auto"/>
                <w:sz w:val="21"/>
                <w:szCs w:val="21"/>
                <w:highlight w:val="none"/>
              </w:rPr>
            </w:pPr>
            <w:r>
              <w:rPr>
                <w:rFonts w:hint="eastAsia" w:ascii="宋体" w:hAnsi="宋体" w:eastAsia="宋体" w:cs="宋体"/>
                <w:color w:val="auto"/>
                <w:kern w:val="2"/>
                <w:sz w:val="21"/>
                <w:szCs w:val="21"/>
                <w:highlight w:val="none"/>
              </w:rPr>
              <w:t>10</w:t>
            </w:r>
          </w:p>
        </w:tc>
        <w:tc>
          <w:tcPr>
            <w:tcW w:w="5619" w:type="dxa"/>
            <w:gridSpan w:val="2"/>
            <w:tcBorders>
              <w:top w:val="single" w:color="auto" w:sz="4" w:space="0"/>
              <w:left w:val="single" w:color="auto" w:sz="4" w:space="0"/>
              <w:bottom w:val="single" w:color="auto" w:sz="4" w:space="0"/>
              <w:right w:val="single" w:color="auto" w:sz="4" w:space="0"/>
            </w:tcBorders>
            <w:vAlign w:val="top"/>
          </w:tcPr>
          <w:p w14:paraId="0E3F3822">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根据投标人就本项目重点、难点分析情况，及其解决措施的合理、可行性进行综合评审：</w:t>
            </w:r>
          </w:p>
          <w:p w14:paraId="0DA11457">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重点难点分析详细完整，解决方案合理可行、可操作性强的得10分；</w:t>
            </w:r>
          </w:p>
          <w:p w14:paraId="03CA757C">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重点难点分析较详细，解决方案较合理可行、可操作性较强的得6分；</w:t>
            </w:r>
          </w:p>
          <w:p w14:paraId="49170134">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重点难点分析、解决方案及可行性一般，可操作性一般的得3分；</w:t>
            </w:r>
          </w:p>
          <w:p w14:paraId="6772C909">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 xml:space="preserve">重点难点分析方案及决方案措施不完整可行性不高的得1分； </w:t>
            </w:r>
          </w:p>
          <w:p w14:paraId="7F020CE1">
            <w:pPr>
              <w:widowControl w:val="0"/>
              <w:adjustRightInd/>
              <w:snapToGrid/>
              <w:spacing w:before="72" w:beforeLines="20" w:after="72" w:afterLines="20"/>
              <w:ind w:firstLine="420" w:firstLineChars="200"/>
              <w:jc w:val="both"/>
              <w:rPr>
                <w:rFonts w:ascii="宋体" w:eastAsia="宋体" w:cs="宋体"/>
                <w:color w:val="auto"/>
                <w:sz w:val="21"/>
                <w:szCs w:val="21"/>
                <w:highlight w:val="none"/>
                <w:lang w:val="zh-CN"/>
              </w:rPr>
            </w:pPr>
            <w:r>
              <w:rPr>
                <w:rFonts w:hint="eastAsia" w:ascii="宋体" w:hAnsi="宋体" w:eastAsia="宋体" w:cs="宋体"/>
                <w:bCs/>
                <w:color w:val="auto"/>
                <w:kern w:val="2"/>
                <w:sz w:val="21"/>
                <w:szCs w:val="21"/>
                <w:highlight w:val="none"/>
                <w:lang w:val="zh-CN"/>
              </w:rPr>
              <w:t>无提供对应方案，得0分。</w:t>
            </w:r>
          </w:p>
        </w:tc>
      </w:tr>
      <w:tr w14:paraId="6985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AD867A0">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456" w:type="dxa"/>
            <w:tcBorders>
              <w:top w:val="single" w:color="auto" w:sz="4" w:space="0"/>
              <w:left w:val="single" w:color="auto" w:sz="4" w:space="0"/>
              <w:bottom w:val="single" w:color="auto" w:sz="4" w:space="0"/>
              <w:right w:val="single" w:color="auto" w:sz="4" w:space="0"/>
            </w:tcBorders>
            <w:vAlign w:val="center"/>
          </w:tcPr>
          <w:p w14:paraId="7779E9D0">
            <w:pPr>
              <w:widowControl w:val="0"/>
              <w:adjustRightInd/>
              <w:snapToGrid/>
              <w:spacing w:after="0"/>
              <w:jc w:val="center"/>
              <w:rPr>
                <w:rFonts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质量保证措施</w:t>
            </w:r>
          </w:p>
        </w:tc>
        <w:tc>
          <w:tcPr>
            <w:tcW w:w="757" w:type="dxa"/>
            <w:tcBorders>
              <w:top w:val="single" w:color="auto" w:sz="4" w:space="0"/>
              <w:left w:val="single" w:color="auto" w:sz="4" w:space="0"/>
              <w:bottom w:val="single" w:color="auto" w:sz="4" w:space="0"/>
              <w:right w:val="single" w:color="auto" w:sz="4" w:space="0"/>
            </w:tcBorders>
            <w:vAlign w:val="center"/>
          </w:tcPr>
          <w:p w14:paraId="21096F7F">
            <w:pPr>
              <w:widowControl w:val="0"/>
              <w:adjustRightInd/>
              <w:snapToGrid/>
              <w:spacing w:after="0"/>
              <w:jc w:val="center"/>
              <w:rPr>
                <w:rFonts w:hint="default" w:asci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5619" w:type="dxa"/>
            <w:gridSpan w:val="2"/>
            <w:tcBorders>
              <w:top w:val="single" w:color="auto" w:sz="4" w:space="0"/>
              <w:left w:val="single" w:color="auto" w:sz="4" w:space="0"/>
              <w:bottom w:val="single" w:color="auto" w:sz="4" w:space="0"/>
              <w:right w:val="single" w:color="auto" w:sz="4" w:space="0"/>
            </w:tcBorders>
            <w:vAlign w:val="top"/>
          </w:tcPr>
          <w:p w14:paraId="6683F482">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根据投标人的质量保证措施（包括但不限于服务质量，辅导服务的内容、形式等）进行评审：</w:t>
            </w:r>
          </w:p>
          <w:p w14:paraId="6E7503CA">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项目质量保证措施合理完善，条例清晰，操作性强，质量监测评估制度完善全面可行性高，得10分；</w:t>
            </w:r>
          </w:p>
          <w:p w14:paraId="17B0CA55">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项目质量保证措施较为合理完善，条例较为清晰，有一定的操作性，质量监测评估制度较为完善全面，有一定可行性得6分；</w:t>
            </w:r>
          </w:p>
          <w:p w14:paraId="44D6FF52">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项目质量保证措施不够全面，条例不太清晰或操作性较低，质量监测评估制度可行性一般，得3分；</w:t>
            </w:r>
          </w:p>
          <w:p w14:paraId="203AC521">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项目质量保证措施不全面，条例不清晰或操作性低，得1分；</w:t>
            </w:r>
          </w:p>
          <w:p w14:paraId="40EAEAB4">
            <w:pPr>
              <w:widowControl w:val="0"/>
              <w:adjustRightInd/>
              <w:snapToGrid/>
              <w:spacing w:before="72" w:beforeLines="20" w:after="72" w:afterLines="20"/>
              <w:ind w:firstLine="420" w:firstLineChars="200"/>
              <w:jc w:val="both"/>
              <w:rPr>
                <w:rFonts w:ascii="宋体" w:eastAsia="宋体" w:cs="宋体"/>
                <w:color w:val="auto"/>
                <w:sz w:val="21"/>
                <w:szCs w:val="21"/>
                <w:highlight w:val="none"/>
                <w:lang w:val="zh-CN"/>
              </w:rPr>
            </w:pPr>
            <w:r>
              <w:rPr>
                <w:rFonts w:hint="eastAsia" w:ascii="宋体" w:hAnsi="宋体" w:eastAsia="宋体" w:cs="宋体"/>
                <w:bCs/>
                <w:color w:val="auto"/>
                <w:kern w:val="2"/>
                <w:sz w:val="21"/>
                <w:szCs w:val="21"/>
                <w:highlight w:val="none"/>
                <w:lang w:val="zh-CN"/>
              </w:rPr>
              <w:t>无提供相关说明的，得0分。</w:t>
            </w:r>
          </w:p>
        </w:tc>
      </w:tr>
      <w:tr w14:paraId="0240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F16F241">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p>
        </w:tc>
        <w:tc>
          <w:tcPr>
            <w:tcW w:w="1456" w:type="dxa"/>
            <w:tcBorders>
              <w:top w:val="single" w:color="auto" w:sz="4" w:space="0"/>
              <w:left w:val="single" w:color="auto" w:sz="4" w:space="0"/>
              <w:bottom w:val="single" w:color="auto" w:sz="4" w:space="0"/>
              <w:right w:val="single" w:color="auto" w:sz="4" w:space="0"/>
            </w:tcBorders>
            <w:vAlign w:val="center"/>
          </w:tcPr>
          <w:p w14:paraId="637C1E67">
            <w:pPr>
              <w:widowControl w:val="0"/>
              <w:adjustRightInd/>
              <w:snapToGrid/>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跟踪服务、监控评估等流程方案</w:t>
            </w:r>
          </w:p>
        </w:tc>
        <w:tc>
          <w:tcPr>
            <w:tcW w:w="757" w:type="dxa"/>
            <w:tcBorders>
              <w:top w:val="single" w:color="auto" w:sz="4" w:space="0"/>
              <w:left w:val="single" w:color="auto" w:sz="4" w:space="0"/>
              <w:bottom w:val="single" w:color="auto" w:sz="4" w:space="0"/>
              <w:right w:val="single" w:color="auto" w:sz="4" w:space="0"/>
            </w:tcBorders>
            <w:vAlign w:val="center"/>
          </w:tcPr>
          <w:p w14:paraId="47AED9FD">
            <w:pPr>
              <w:widowControl w:val="0"/>
              <w:adjustRightInd/>
              <w:snapToGrid/>
              <w:spacing w:after="0"/>
              <w:jc w:val="center"/>
              <w:rPr>
                <w:rFonts w:asci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rPr>
              <w:t>10</w:t>
            </w:r>
          </w:p>
        </w:tc>
        <w:tc>
          <w:tcPr>
            <w:tcW w:w="5619" w:type="dxa"/>
            <w:gridSpan w:val="2"/>
            <w:tcBorders>
              <w:top w:val="single" w:color="auto" w:sz="4" w:space="0"/>
              <w:left w:val="single" w:color="auto" w:sz="4" w:space="0"/>
              <w:bottom w:val="single" w:color="auto" w:sz="4" w:space="0"/>
              <w:right w:val="single" w:color="auto" w:sz="4" w:space="0"/>
            </w:tcBorders>
            <w:vAlign w:val="center"/>
          </w:tcPr>
          <w:p w14:paraId="38A32978">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根据各投标人提供的相关跟踪服务、监控评估等流程规范程度进行综合评审：</w:t>
            </w:r>
          </w:p>
          <w:p w14:paraId="72B14C6E">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项目跟踪服务流程清晰合理，监控评估方案完善，可操作性强，得10分；</w:t>
            </w:r>
          </w:p>
          <w:p w14:paraId="54F8B79D">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项目跟踪服务流程较合理，监控评估方案较完善，可操作性较强，得</w:t>
            </w:r>
            <w:r>
              <w:rPr>
                <w:rFonts w:hint="eastAsia" w:ascii="宋体" w:hAnsi="宋体" w:eastAsia="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lang w:val="zh-CN"/>
              </w:rPr>
              <w:t xml:space="preserve">分； </w:t>
            </w:r>
          </w:p>
          <w:p w14:paraId="4503C808">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项目跟踪服务流程基本合理，监控评估方案基本完善，可操作性一般，得</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val="zh-CN"/>
              </w:rPr>
              <w:t xml:space="preserve">分； </w:t>
            </w:r>
          </w:p>
          <w:p w14:paraId="6E59B444">
            <w:pPr>
              <w:widowControl w:val="0"/>
              <w:adjustRightInd/>
              <w:snapToGrid/>
              <w:spacing w:before="72" w:beforeLines="20" w:after="72" w:afterLines="20"/>
              <w:ind w:firstLine="420" w:firstLineChars="200"/>
              <w:jc w:val="both"/>
              <w:rPr>
                <w:rFonts w:ascii="宋体" w:eastAsia="宋体" w:cs="宋体"/>
                <w:color w:val="auto"/>
                <w:sz w:val="21"/>
                <w:szCs w:val="21"/>
                <w:highlight w:val="none"/>
                <w:lang w:val="zh-CN"/>
              </w:rPr>
            </w:pPr>
            <w:r>
              <w:rPr>
                <w:rFonts w:hint="eastAsia" w:ascii="宋体" w:hAnsi="宋体" w:eastAsia="宋体" w:cs="宋体"/>
                <w:bCs/>
                <w:color w:val="auto"/>
                <w:kern w:val="2"/>
                <w:sz w:val="21"/>
                <w:szCs w:val="21"/>
                <w:highlight w:val="none"/>
                <w:lang w:val="zh-CN"/>
              </w:rPr>
              <w:t>项目跟踪服务流程模糊不合理，监控评估方案不完善，可操作性不强，得1分。 无提供相关说明的，得0分。</w:t>
            </w:r>
          </w:p>
        </w:tc>
      </w:tr>
      <w:tr w14:paraId="5C0E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2FFF7AC5">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注：</w:t>
            </w:r>
          </w:p>
          <w:p w14:paraId="64D2BB97">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（1）无特殊说明外，以上评审项，同一证明文件不重复计分。</w:t>
            </w:r>
          </w:p>
          <w:p w14:paraId="42EFB2B0">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eastAsia="宋体" w:cs="宋体"/>
                <w:color w:val="auto"/>
                <w:sz w:val="21"/>
                <w:szCs w:val="21"/>
                <w:highlight w:val="none"/>
              </w:rPr>
            </w:pPr>
            <w:r>
              <w:rPr>
                <w:rFonts w:hint="eastAsia" w:ascii="宋体" w:hAnsi="宋体" w:eastAsia="宋体"/>
                <w:b/>
                <w:color w:val="auto"/>
                <w:sz w:val="21"/>
                <w:szCs w:val="21"/>
                <w:highlight w:val="none"/>
              </w:rPr>
              <w:t>（2）投标人根据以上评分要求提供的</w:t>
            </w:r>
            <w:r>
              <w:rPr>
                <w:rFonts w:hint="eastAsia" w:ascii="宋体" w:hAnsi="宋体" w:eastAsia="宋体"/>
                <w:b/>
                <w:color w:val="auto"/>
                <w:sz w:val="21"/>
                <w:szCs w:val="21"/>
                <w:highlight w:val="none"/>
                <w:lang w:eastAsia="zh-CN"/>
              </w:rPr>
              <w:t>投标材料</w:t>
            </w:r>
            <w:r>
              <w:rPr>
                <w:rFonts w:hint="eastAsia" w:ascii="宋体" w:hAnsi="宋体" w:eastAsia="宋体"/>
                <w:b/>
                <w:color w:val="auto"/>
                <w:sz w:val="21"/>
                <w:szCs w:val="21"/>
                <w:highlight w:val="none"/>
              </w:rPr>
              <w:t>因模糊不清导致评标委员会无法清晰辨认进行评审的，</w:t>
            </w:r>
            <w:r>
              <w:rPr>
                <w:rFonts w:hint="eastAsia" w:ascii="宋体" w:hAnsi="宋体" w:eastAsia="宋体"/>
                <w:b/>
                <w:color w:val="auto"/>
                <w:sz w:val="21"/>
                <w:szCs w:val="21"/>
                <w:highlight w:val="none"/>
                <w:lang w:eastAsia="zh-CN"/>
              </w:rPr>
              <w:t>视为无效材料</w:t>
            </w:r>
            <w:r>
              <w:rPr>
                <w:rFonts w:hint="eastAsia" w:ascii="宋体" w:hAnsi="宋体" w:eastAsia="宋体"/>
                <w:b/>
                <w:color w:val="auto"/>
                <w:sz w:val="21"/>
                <w:szCs w:val="21"/>
                <w:highlight w:val="none"/>
              </w:rPr>
              <w:t>。</w:t>
            </w:r>
          </w:p>
        </w:tc>
      </w:tr>
      <w:tr w14:paraId="2B11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6FB974F6">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zh-CN" w:eastAsia="zh-CN"/>
              </w:rPr>
            </w:pPr>
            <w:r>
              <w:rPr>
                <w:rFonts w:hint="eastAsia" w:ascii="宋体" w:eastAsia="宋体" w:cs="宋体"/>
                <w:b/>
                <w:bCs/>
                <w:color w:val="auto"/>
                <w:sz w:val="21"/>
                <w:szCs w:val="21"/>
                <w:highlight w:val="none"/>
              </w:rPr>
              <w:t>价格评审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10分</w:t>
            </w:r>
            <w:r>
              <w:rPr>
                <w:rFonts w:hint="eastAsia" w:ascii="宋体" w:eastAsia="宋体" w:cs="宋体"/>
                <w:b/>
                <w:bCs/>
                <w:color w:val="auto"/>
                <w:sz w:val="21"/>
                <w:szCs w:val="21"/>
                <w:highlight w:val="none"/>
                <w:lang w:eastAsia="zh-CN"/>
              </w:rPr>
              <w:t>）</w:t>
            </w:r>
          </w:p>
        </w:tc>
      </w:tr>
      <w:tr w14:paraId="299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F810175">
            <w:pPr>
              <w:pStyle w:val="29"/>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456" w:type="dxa"/>
            <w:tcBorders>
              <w:top w:val="single" w:color="auto" w:sz="4" w:space="0"/>
              <w:left w:val="single" w:color="auto" w:sz="4" w:space="0"/>
              <w:bottom w:val="single" w:color="auto" w:sz="4" w:space="0"/>
              <w:right w:val="single" w:color="auto" w:sz="4" w:space="0"/>
            </w:tcBorders>
            <w:vAlign w:val="center"/>
          </w:tcPr>
          <w:p w14:paraId="0AC6FBD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投标总价</w:t>
            </w:r>
          </w:p>
        </w:tc>
        <w:tc>
          <w:tcPr>
            <w:tcW w:w="888" w:type="dxa"/>
            <w:gridSpan w:val="2"/>
            <w:tcBorders>
              <w:top w:val="single" w:color="auto" w:sz="4" w:space="0"/>
              <w:left w:val="single" w:color="auto" w:sz="4" w:space="0"/>
              <w:bottom w:val="single" w:color="auto" w:sz="4" w:space="0"/>
              <w:right w:val="single" w:color="auto" w:sz="4" w:space="0"/>
            </w:tcBorders>
            <w:vAlign w:val="center"/>
          </w:tcPr>
          <w:p w14:paraId="29B4273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5488" w:type="dxa"/>
            <w:tcBorders>
              <w:top w:val="single" w:color="auto" w:sz="4" w:space="0"/>
              <w:left w:val="single" w:color="auto" w:sz="4" w:space="0"/>
              <w:bottom w:val="single" w:color="auto" w:sz="4" w:space="0"/>
              <w:right w:val="single" w:color="auto" w:sz="4" w:space="0"/>
            </w:tcBorders>
            <w:vAlign w:val="center"/>
          </w:tcPr>
          <w:p w14:paraId="697D2A43">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价格分计算方法：满足招标文件要求且投标价格最低的投标报价为评标基准价，其价格分为满分。其他投标人的价格分统一按照下列公式计算：</w:t>
            </w:r>
          </w:p>
          <w:p w14:paraId="08FFF78D">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投标报价得分=(评标基准价／投标报价)×价格权值</w:t>
            </w:r>
          </w:p>
        </w:tc>
      </w:tr>
    </w:tbl>
    <w:p w14:paraId="706C996A">
      <w:pPr>
        <w:pStyle w:val="3"/>
        <w:pageBreakBefore w:val="0"/>
        <w:kinsoku/>
        <w:topLinePunct w:val="0"/>
        <w:autoSpaceDE/>
        <w:autoSpaceDN/>
        <w:bidi w:val="0"/>
        <w:spacing w:before="0" w:after="0" w:line="360" w:lineRule="auto"/>
        <w:rPr>
          <w:color w:val="auto"/>
          <w:sz w:val="36"/>
          <w:szCs w:val="36"/>
          <w:highlight w:val="none"/>
        </w:rPr>
      </w:pPr>
      <w:r>
        <w:rPr>
          <w:rFonts w:hint="eastAsia"/>
          <w:color w:val="auto"/>
          <w:sz w:val="28"/>
          <w:szCs w:val="28"/>
          <w:highlight w:val="none"/>
        </w:rPr>
        <w:br w:type="page"/>
      </w:r>
      <w:bookmarkStart w:id="5" w:name="_Toc21802"/>
      <w:r>
        <w:rPr>
          <w:rFonts w:hint="eastAsia"/>
          <w:color w:val="auto"/>
          <w:sz w:val="28"/>
          <w:szCs w:val="28"/>
          <w:highlight w:val="none"/>
        </w:rPr>
        <w:t>第三部分 用户需求书</w:t>
      </w:r>
      <w:bookmarkEnd w:id="5"/>
    </w:p>
    <w:p w14:paraId="75BCC726">
      <w:pPr>
        <w:pageBreakBefore w:val="0"/>
        <w:kinsoku/>
        <w:topLinePunct w:val="0"/>
        <w:autoSpaceDE/>
        <w:autoSpaceDN/>
        <w:bidi w:val="0"/>
        <w:spacing w:after="0" w:line="360" w:lineRule="auto"/>
        <w:jc w:val="both"/>
        <w:rPr>
          <w:rFonts w:ascii="宋体" w:hAnsi="宋体" w:eastAsia="宋体"/>
          <w:b/>
          <w:color w:val="auto"/>
          <w:sz w:val="24"/>
          <w:highlight w:val="none"/>
        </w:rPr>
      </w:pPr>
    </w:p>
    <w:p w14:paraId="71EA4D2A">
      <w:pPr>
        <w:pStyle w:val="26"/>
        <w:keepNext w:val="0"/>
        <w:keepLines w:val="0"/>
        <w:pageBreakBefore w:val="0"/>
        <w:widowControl/>
        <w:numPr>
          <w:ilvl w:val="0"/>
          <w:numId w:val="0"/>
        </w:numPr>
        <w:kinsoku/>
        <w:wordWrap/>
        <w:overflowPunct/>
        <w:topLinePunct w:val="0"/>
        <w:autoSpaceDE/>
        <w:autoSpaceDN/>
        <w:bidi w:val="0"/>
        <w:spacing w:after="0" w:line="360" w:lineRule="auto"/>
        <w:ind w:leftChars="0"/>
        <w:jc w:val="center"/>
        <w:textAlignment w:val="auto"/>
        <w:rPr>
          <w:rFonts w:hint="default" w:ascii="宋体" w:hAnsi="宋体"/>
          <w:b/>
          <w:color w:val="auto"/>
          <w:sz w:val="20"/>
          <w:highlight w:val="none"/>
          <w:lang w:val="en-US"/>
        </w:rPr>
      </w:pPr>
      <w:r>
        <w:rPr>
          <w:rFonts w:hint="eastAsia" w:ascii="宋体" w:hAnsi="宋体" w:eastAsia="宋体"/>
          <w:b/>
          <w:color w:val="auto"/>
          <w:sz w:val="28"/>
          <w:szCs w:val="24"/>
          <w:highlight w:val="none"/>
          <w:lang w:eastAsia="zh-CN"/>
        </w:rPr>
        <w:t>商务需求书</w:t>
      </w:r>
    </w:p>
    <w:tbl>
      <w:tblPr>
        <w:tblStyle w:val="18"/>
        <w:tblW w:w="513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0"/>
        <w:gridCol w:w="1369"/>
        <w:gridCol w:w="6730"/>
      </w:tblGrid>
      <w:tr w14:paraId="12430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2" w:type="pct"/>
            <w:vAlign w:val="center"/>
          </w:tcPr>
          <w:p w14:paraId="23227321">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序号</w:t>
            </w:r>
          </w:p>
        </w:tc>
        <w:tc>
          <w:tcPr>
            <w:tcW w:w="782" w:type="pct"/>
            <w:vAlign w:val="center"/>
          </w:tcPr>
          <w:p w14:paraId="3203E3E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条款名称</w:t>
            </w:r>
          </w:p>
        </w:tc>
        <w:tc>
          <w:tcPr>
            <w:tcW w:w="3845" w:type="pct"/>
            <w:vAlign w:val="center"/>
          </w:tcPr>
          <w:p w14:paraId="2BFF6C05">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说  明</w:t>
            </w:r>
          </w:p>
        </w:tc>
      </w:tr>
      <w:tr w14:paraId="76674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72" w:type="pct"/>
            <w:vAlign w:val="center"/>
          </w:tcPr>
          <w:p w14:paraId="7E911673">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1</w:t>
            </w:r>
          </w:p>
        </w:tc>
        <w:tc>
          <w:tcPr>
            <w:tcW w:w="782" w:type="pct"/>
            <w:vAlign w:val="center"/>
          </w:tcPr>
          <w:p w14:paraId="16E14F5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服务期</w:t>
            </w:r>
          </w:p>
        </w:tc>
        <w:tc>
          <w:tcPr>
            <w:tcW w:w="3845" w:type="pct"/>
            <w:vAlign w:val="center"/>
          </w:tcPr>
          <w:p w14:paraId="7F72BA03">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rPr>
              <w:t>2025年10月25日至2026年10月24日，为期1年</w:t>
            </w:r>
            <w:r>
              <w:rPr>
                <w:rFonts w:hint="eastAsia" w:ascii="宋体" w:hAnsi="宋体" w:eastAsia="宋体"/>
                <w:color w:val="auto"/>
                <w:szCs w:val="21"/>
                <w:highlight w:val="none"/>
                <w:lang w:eastAsia="zh-CN"/>
              </w:rPr>
              <w:t>（具体合同起始时间以实际为准）</w:t>
            </w:r>
            <w:r>
              <w:rPr>
                <w:rFonts w:hint="eastAsia" w:ascii="宋体" w:hAnsi="宋体" w:eastAsia="宋体"/>
                <w:color w:val="auto"/>
                <w:szCs w:val="21"/>
                <w:highlight w:val="none"/>
              </w:rPr>
              <w:t>。</w:t>
            </w:r>
          </w:p>
        </w:tc>
      </w:tr>
      <w:tr w14:paraId="47518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72" w:type="pct"/>
            <w:vAlign w:val="center"/>
          </w:tcPr>
          <w:p w14:paraId="625F275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c>
          <w:tcPr>
            <w:tcW w:w="782" w:type="pct"/>
            <w:vAlign w:val="center"/>
          </w:tcPr>
          <w:p w14:paraId="3D4AA510">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theme="minorBidi"/>
                <w:color w:val="auto"/>
                <w:sz w:val="22"/>
                <w:szCs w:val="21"/>
                <w:highlight w:val="none"/>
                <w:lang w:val="en-US" w:eastAsia="zh-CN" w:bidi="ar-SA"/>
              </w:rPr>
            </w:pPr>
            <w:r>
              <w:rPr>
                <w:rFonts w:hint="eastAsia" w:ascii="宋体" w:hAnsi="宋体" w:eastAsia="宋体" w:cstheme="minorBidi"/>
                <w:color w:val="auto"/>
                <w:sz w:val="22"/>
                <w:szCs w:val="21"/>
                <w:highlight w:val="none"/>
                <w:lang w:val="en-US" w:eastAsia="zh-CN" w:bidi="ar-SA"/>
              </w:rPr>
              <w:t>服务费用及付款方式</w:t>
            </w:r>
          </w:p>
        </w:tc>
        <w:tc>
          <w:tcPr>
            <w:tcW w:w="3845" w:type="pct"/>
            <w:vAlign w:val="center"/>
          </w:tcPr>
          <w:p w14:paraId="15D0BD6D">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default" w:ascii="宋体" w:hAnsi="宋体" w:eastAsia="宋体"/>
                <w:color w:val="auto"/>
                <w:szCs w:val="21"/>
                <w:highlight w:val="none"/>
              </w:rPr>
            </w:pPr>
            <w:r>
              <w:rPr>
                <w:rFonts w:hint="default" w:ascii="宋体" w:hAnsi="宋体" w:eastAsia="宋体"/>
                <w:color w:val="auto"/>
                <w:szCs w:val="21"/>
                <w:highlight w:val="none"/>
              </w:rPr>
              <w:t>（1）</w:t>
            </w:r>
            <w:r>
              <w:rPr>
                <w:rFonts w:hint="eastAsia" w:ascii="宋体" w:hAnsi="宋体" w:eastAsia="宋体"/>
                <w:color w:val="auto"/>
                <w:szCs w:val="21"/>
                <w:highlight w:val="none"/>
                <w:lang w:val="en-US" w:eastAsia="zh-CN"/>
              </w:rPr>
              <w:t>待2026年财政预算下达经费后</w:t>
            </w:r>
            <w:r>
              <w:rPr>
                <w:rFonts w:hint="default" w:ascii="宋体" w:hAnsi="宋体" w:eastAsia="宋体"/>
                <w:color w:val="auto"/>
                <w:szCs w:val="21"/>
                <w:highlight w:val="none"/>
              </w:rPr>
              <w:t>，采购人向</w:t>
            </w:r>
            <w:r>
              <w:rPr>
                <w:rFonts w:hint="default" w:ascii="宋体" w:hAnsi="宋体" w:eastAsia="宋体"/>
                <w:color w:val="auto"/>
                <w:szCs w:val="21"/>
                <w:highlight w:val="none"/>
                <w:lang w:eastAsia="zh-CN"/>
              </w:rPr>
              <w:t>中标人</w:t>
            </w:r>
            <w:r>
              <w:rPr>
                <w:rFonts w:hint="default" w:ascii="宋体" w:hAnsi="宋体" w:eastAsia="宋体"/>
                <w:color w:val="auto"/>
                <w:szCs w:val="21"/>
                <w:highlight w:val="none"/>
              </w:rPr>
              <w:t>支付项目30%合同经费。</w:t>
            </w:r>
          </w:p>
          <w:p w14:paraId="3115553F">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default" w:ascii="宋体" w:hAnsi="宋体" w:eastAsia="宋体"/>
                <w:color w:val="auto"/>
                <w:szCs w:val="21"/>
                <w:highlight w:val="none"/>
              </w:rPr>
            </w:pPr>
            <w:r>
              <w:rPr>
                <w:rFonts w:hint="default" w:ascii="宋体" w:hAnsi="宋体" w:eastAsia="宋体"/>
                <w:color w:val="auto"/>
                <w:szCs w:val="21"/>
                <w:highlight w:val="none"/>
              </w:rPr>
              <w:t>（2）项目运营满6个月</w:t>
            </w:r>
            <w:r>
              <w:rPr>
                <w:rFonts w:hint="eastAsia" w:ascii="宋体" w:hAnsi="宋体" w:eastAsia="宋体"/>
                <w:color w:val="auto"/>
                <w:szCs w:val="21"/>
                <w:highlight w:val="none"/>
                <w:lang w:eastAsia="zh-CN"/>
              </w:rPr>
              <w:t>并</w:t>
            </w:r>
            <w:r>
              <w:rPr>
                <w:rFonts w:hint="default" w:ascii="宋体" w:hAnsi="宋体" w:eastAsia="宋体"/>
                <w:color w:val="auto"/>
                <w:szCs w:val="21"/>
                <w:highlight w:val="none"/>
              </w:rPr>
              <w:t>经采购人验收合格后，采购人向</w:t>
            </w:r>
            <w:r>
              <w:rPr>
                <w:rFonts w:hint="default" w:ascii="宋体" w:hAnsi="宋体" w:eastAsia="宋体"/>
                <w:color w:val="auto"/>
                <w:szCs w:val="21"/>
                <w:highlight w:val="none"/>
                <w:lang w:eastAsia="zh-CN"/>
              </w:rPr>
              <w:t>中标人</w:t>
            </w:r>
            <w:r>
              <w:rPr>
                <w:rFonts w:hint="default" w:ascii="宋体" w:hAnsi="宋体" w:eastAsia="宋体"/>
                <w:color w:val="auto"/>
                <w:szCs w:val="21"/>
                <w:highlight w:val="none"/>
              </w:rPr>
              <w:t>支付项目30%合同经费。</w:t>
            </w:r>
          </w:p>
          <w:p w14:paraId="499B9F21">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default" w:ascii="宋体" w:hAnsi="宋体" w:eastAsia="宋体"/>
                <w:color w:val="auto"/>
                <w:szCs w:val="21"/>
                <w:highlight w:val="none"/>
              </w:rPr>
            </w:pPr>
            <w:r>
              <w:rPr>
                <w:rFonts w:hint="default" w:ascii="宋体" w:hAnsi="宋体" w:eastAsia="宋体"/>
                <w:color w:val="auto"/>
                <w:szCs w:val="21"/>
                <w:highlight w:val="none"/>
              </w:rPr>
              <w:t>（3）完成合同约定工作</w:t>
            </w:r>
            <w:r>
              <w:rPr>
                <w:rFonts w:hint="eastAsia" w:ascii="宋体" w:hAnsi="宋体" w:eastAsia="宋体"/>
                <w:color w:val="auto"/>
                <w:sz w:val="21"/>
                <w:szCs w:val="21"/>
                <w:highlight w:val="none"/>
                <w:lang w:eastAsia="zh-CN"/>
              </w:rPr>
              <w:t>并</w:t>
            </w:r>
            <w:r>
              <w:rPr>
                <w:rFonts w:hint="default" w:ascii="宋体" w:hAnsi="宋体" w:eastAsia="宋体"/>
                <w:color w:val="auto"/>
                <w:szCs w:val="21"/>
                <w:highlight w:val="none"/>
                <w:lang w:eastAsia="zh-CN"/>
              </w:rPr>
              <w:t>经采购人验收合格</w:t>
            </w:r>
            <w:r>
              <w:rPr>
                <w:rFonts w:hint="default" w:ascii="宋体" w:hAnsi="宋体" w:eastAsia="宋体"/>
                <w:color w:val="auto"/>
                <w:szCs w:val="21"/>
                <w:highlight w:val="none"/>
              </w:rPr>
              <w:t>后，采购人向</w:t>
            </w:r>
            <w:r>
              <w:rPr>
                <w:rFonts w:hint="default" w:ascii="宋体" w:hAnsi="宋体" w:eastAsia="宋体"/>
                <w:color w:val="auto"/>
                <w:szCs w:val="21"/>
                <w:highlight w:val="none"/>
                <w:lang w:eastAsia="zh-CN"/>
              </w:rPr>
              <w:t>中标人</w:t>
            </w:r>
            <w:r>
              <w:rPr>
                <w:rFonts w:hint="default" w:ascii="宋体" w:hAnsi="宋体" w:eastAsia="宋体"/>
                <w:color w:val="auto"/>
                <w:szCs w:val="21"/>
                <w:highlight w:val="none"/>
              </w:rPr>
              <w:t>支付项目30%合同经费。</w:t>
            </w:r>
          </w:p>
          <w:p w14:paraId="4E949B23">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olor w:val="auto"/>
                <w:szCs w:val="21"/>
                <w:highlight w:val="none"/>
                <w:lang w:val="en-US" w:eastAsia="zh-CN"/>
              </w:rPr>
            </w:pPr>
            <w:r>
              <w:rPr>
                <w:rFonts w:hint="default" w:ascii="宋体" w:hAnsi="宋体" w:eastAsia="宋体"/>
                <w:color w:val="auto"/>
                <w:szCs w:val="21"/>
                <w:highlight w:val="none"/>
              </w:rPr>
              <w:t>（4）剩余10%合同经费根据项目考核评估结果拨付，评估结果为合格或以上的，余下10%合同经费全额支付；评估结果为不合格的，扣减余下10%合同经费。</w:t>
            </w:r>
          </w:p>
        </w:tc>
      </w:tr>
      <w:tr w14:paraId="07767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72" w:type="pct"/>
            <w:vAlign w:val="center"/>
          </w:tcPr>
          <w:p w14:paraId="1BEC4D7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3</w:t>
            </w:r>
          </w:p>
        </w:tc>
        <w:tc>
          <w:tcPr>
            <w:tcW w:w="782" w:type="pct"/>
            <w:vAlign w:val="center"/>
          </w:tcPr>
          <w:p w14:paraId="25B48A8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项目地点</w:t>
            </w:r>
          </w:p>
        </w:tc>
        <w:tc>
          <w:tcPr>
            <w:tcW w:w="3845" w:type="pct"/>
            <w:vAlign w:val="center"/>
          </w:tcPr>
          <w:p w14:paraId="586C32A2">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东莞市婚姻登记管理中心</w:t>
            </w:r>
          </w:p>
        </w:tc>
      </w:tr>
      <w:tr w14:paraId="2AF06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372" w:type="pct"/>
            <w:vAlign w:val="center"/>
          </w:tcPr>
          <w:p w14:paraId="656F2ED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4</w:t>
            </w:r>
          </w:p>
        </w:tc>
        <w:tc>
          <w:tcPr>
            <w:tcW w:w="782" w:type="pct"/>
            <w:vAlign w:val="center"/>
          </w:tcPr>
          <w:p w14:paraId="16A5190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rPr>
              <w:t>报价</w:t>
            </w:r>
            <w:r>
              <w:rPr>
                <w:rFonts w:hint="eastAsia" w:ascii="宋体" w:hAnsi="宋体" w:eastAsia="宋体"/>
                <w:color w:val="auto"/>
                <w:szCs w:val="21"/>
                <w:highlight w:val="none"/>
                <w:lang w:eastAsia="zh-CN"/>
              </w:rPr>
              <w:t>及费用要求</w:t>
            </w:r>
          </w:p>
        </w:tc>
        <w:tc>
          <w:tcPr>
            <w:tcW w:w="3845" w:type="pct"/>
            <w:vAlign w:val="center"/>
          </w:tcPr>
          <w:p w14:paraId="3792ADE1">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olor w:val="auto"/>
                <w:szCs w:val="21"/>
                <w:highlight w:val="none"/>
              </w:rPr>
            </w:pPr>
            <w:r>
              <w:rPr>
                <w:rFonts w:hint="default" w:ascii="宋体" w:hAnsi="宋体" w:eastAsia="宋体"/>
                <w:color w:val="auto"/>
                <w:szCs w:val="21"/>
                <w:highlight w:val="none"/>
              </w:rPr>
              <w:t>（</w:t>
            </w:r>
            <w:r>
              <w:rPr>
                <w:rFonts w:hint="eastAsia" w:ascii="宋体" w:hAnsi="宋体" w:eastAsia="宋体"/>
                <w:color w:val="auto"/>
                <w:szCs w:val="21"/>
                <w:highlight w:val="none"/>
                <w:lang w:eastAsia="zh-CN"/>
              </w:rPr>
              <w:t>一</w:t>
            </w:r>
            <w:r>
              <w:rPr>
                <w:rFonts w:hint="default" w:ascii="宋体" w:hAnsi="宋体" w:eastAsia="宋体"/>
                <w:color w:val="auto"/>
                <w:szCs w:val="21"/>
                <w:highlight w:val="none"/>
              </w:rPr>
              <w:t>）</w:t>
            </w:r>
            <w:r>
              <w:rPr>
                <w:rFonts w:hint="eastAsia" w:ascii="宋体" w:hAnsi="宋体" w:eastAsia="宋体"/>
                <w:color w:val="auto"/>
                <w:szCs w:val="21"/>
                <w:highlight w:val="none"/>
              </w:rPr>
              <w:t>投标报价采取打包报价的方式，项目总经费为</w:t>
            </w:r>
            <w:r>
              <w:rPr>
                <w:rFonts w:hint="eastAsia" w:ascii="宋体" w:hAnsi="宋体" w:eastAsia="宋体"/>
                <w:color w:val="auto"/>
                <w:szCs w:val="21"/>
                <w:highlight w:val="none"/>
                <w:lang w:val="en-US" w:eastAsia="zh-CN"/>
              </w:rPr>
              <w:t>59.638</w:t>
            </w:r>
            <w:r>
              <w:rPr>
                <w:rFonts w:hint="eastAsia" w:ascii="宋体" w:hAnsi="宋体" w:eastAsia="宋体"/>
                <w:color w:val="auto"/>
                <w:szCs w:val="21"/>
                <w:highlight w:val="none"/>
              </w:rPr>
              <w:t>万元，用于人员工资及福利费用、社保费用、管理费、开展活动用的物资成本费用、培训费用、各种税费及合同实施过程中的不可预见费用等全部费用。</w:t>
            </w:r>
          </w:p>
          <w:p w14:paraId="4A160E94">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default" w:ascii="宋体" w:hAnsi="宋体" w:eastAsia="宋体"/>
                <w:color w:val="auto"/>
                <w:szCs w:val="21"/>
                <w:highlight w:val="none"/>
              </w:rPr>
            </w:pPr>
            <w:r>
              <w:rPr>
                <w:rFonts w:hint="default" w:ascii="宋体" w:hAnsi="宋体" w:eastAsia="宋体"/>
                <w:color w:val="auto"/>
                <w:szCs w:val="21"/>
                <w:highlight w:val="none"/>
              </w:rPr>
              <w:t>（</w:t>
            </w:r>
            <w:r>
              <w:rPr>
                <w:rFonts w:hint="eastAsia" w:ascii="宋体" w:hAnsi="宋体" w:eastAsia="宋体"/>
                <w:color w:val="auto"/>
                <w:szCs w:val="21"/>
                <w:highlight w:val="none"/>
                <w:lang w:val="en-US" w:eastAsia="zh-CN"/>
              </w:rPr>
              <w:t>二</w:t>
            </w:r>
            <w:r>
              <w:rPr>
                <w:rFonts w:hint="default" w:ascii="宋体" w:hAnsi="宋体" w:eastAsia="宋体"/>
                <w:color w:val="auto"/>
                <w:szCs w:val="21"/>
                <w:highlight w:val="none"/>
              </w:rPr>
              <w:t>）采购方根据合同约定，向</w:t>
            </w:r>
            <w:r>
              <w:rPr>
                <w:rFonts w:hint="default" w:ascii="宋体" w:hAnsi="宋体" w:eastAsia="宋体"/>
                <w:color w:val="auto"/>
                <w:szCs w:val="21"/>
                <w:highlight w:val="none"/>
                <w:lang w:eastAsia="zh-CN"/>
              </w:rPr>
              <w:t>中标人</w:t>
            </w:r>
            <w:r>
              <w:rPr>
                <w:rFonts w:hint="default" w:ascii="宋体" w:hAnsi="宋体" w:eastAsia="宋体"/>
                <w:color w:val="auto"/>
                <w:szCs w:val="21"/>
                <w:highlight w:val="none"/>
              </w:rPr>
              <w:t>支付项目经费，</w:t>
            </w:r>
            <w:r>
              <w:rPr>
                <w:rFonts w:hint="default" w:ascii="宋体" w:hAnsi="宋体" w:eastAsia="宋体"/>
                <w:color w:val="auto"/>
                <w:szCs w:val="21"/>
                <w:highlight w:val="none"/>
                <w:lang w:eastAsia="zh-CN"/>
              </w:rPr>
              <w:t>中标人</w:t>
            </w:r>
            <w:r>
              <w:rPr>
                <w:rFonts w:hint="default" w:ascii="宋体" w:hAnsi="宋体" w:eastAsia="宋体"/>
                <w:color w:val="auto"/>
                <w:szCs w:val="21"/>
                <w:highlight w:val="none"/>
              </w:rPr>
              <w:t>要严格按照《东莞市民政局 东莞市财政局关于印发〈政府购买社会工作服务资金使用管理办法〉的通知》（东民规〔2021〕2号）要求使用项目经费。合同期结束后，服务活动成本有结余的，需将结余部分</w:t>
            </w:r>
            <w:r>
              <w:rPr>
                <w:rFonts w:hint="eastAsia" w:ascii="宋体" w:hAnsi="宋体" w:eastAsia="宋体"/>
                <w:color w:val="auto"/>
                <w:szCs w:val="21"/>
                <w:highlight w:val="none"/>
                <w:lang w:eastAsia="zh-CN"/>
              </w:rPr>
              <w:t>于合同结束后五个工作日内</w:t>
            </w:r>
            <w:r>
              <w:rPr>
                <w:rFonts w:hint="default" w:ascii="宋体" w:hAnsi="宋体" w:eastAsia="宋体"/>
                <w:color w:val="auto"/>
                <w:szCs w:val="21"/>
                <w:highlight w:val="none"/>
              </w:rPr>
              <w:t>退回</w:t>
            </w:r>
            <w:r>
              <w:rPr>
                <w:rFonts w:hint="eastAsia" w:ascii="宋体" w:hAnsi="宋体" w:eastAsia="宋体"/>
                <w:color w:val="auto"/>
                <w:szCs w:val="21"/>
                <w:highlight w:val="none"/>
                <w:lang w:eastAsia="zh-CN"/>
              </w:rPr>
              <w:t>甲方</w:t>
            </w:r>
            <w:r>
              <w:rPr>
                <w:rFonts w:hint="default" w:ascii="宋体" w:hAnsi="宋体" w:eastAsia="宋体"/>
                <w:color w:val="auto"/>
                <w:szCs w:val="21"/>
                <w:highlight w:val="none"/>
              </w:rPr>
              <w:t>。</w:t>
            </w:r>
          </w:p>
          <w:p w14:paraId="0D0A6A6B">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default" w:ascii="宋体" w:hAnsi="宋体" w:eastAsia="宋体"/>
                <w:color w:val="auto"/>
                <w:szCs w:val="21"/>
                <w:highlight w:val="none"/>
              </w:rPr>
            </w:pPr>
            <w:r>
              <w:rPr>
                <w:rFonts w:hint="default" w:ascii="宋体" w:hAnsi="宋体" w:eastAsia="宋体"/>
                <w:color w:val="auto"/>
                <w:szCs w:val="21"/>
                <w:highlight w:val="none"/>
              </w:rPr>
              <w:t>（</w:t>
            </w:r>
            <w:r>
              <w:rPr>
                <w:rFonts w:hint="eastAsia" w:ascii="宋体" w:hAnsi="宋体" w:eastAsia="宋体"/>
                <w:color w:val="auto"/>
                <w:szCs w:val="21"/>
                <w:highlight w:val="none"/>
                <w:lang w:eastAsia="zh-CN"/>
              </w:rPr>
              <w:t>三</w:t>
            </w:r>
            <w:r>
              <w:rPr>
                <w:rFonts w:hint="default" w:ascii="宋体" w:hAnsi="宋体" w:eastAsia="宋体"/>
                <w:color w:val="auto"/>
                <w:szCs w:val="21"/>
                <w:highlight w:val="none"/>
              </w:rPr>
              <w:t>）如项目期内，</w:t>
            </w:r>
            <w:r>
              <w:rPr>
                <w:rFonts w:hint="default" w:ascii="宋体" w:hAnsi="宋体" w:eastAsia="宋体"/>
                <w:color w:val="auto"/>
                <w:szCs w:val="21"/>
                <w:highlight w:val="none"/>
                <w:lang w:eastAsia="zh-CN"/>
              </w:rPr>
              <w:t>中标人</w:t>
            </w:r>
            <w:r>
              <w:rPr>
                <w:rFonts w:hint="default" w:ascii="宋体" w:hAnsi="宋体" w:eastAsia="宋体"/>
                <w:color w:val="auto"/>
                <w:szCs w:val="21"/>
                <w:highlight w:val="none"/>
              </w:rPr>
              <w:t>安排的项目人员存在缺岗情况，且缺岗时间超过15天以上（按自然日计算）仍未安排</w:t>
            </w:r>
            <w:r>
              <w:rPr>
                <w:rFonts w:hint="eastAsia" w:ascii="宋体" w:hAnsi="宋体" w:eastAsia="宋体"/>
                <w:color w:val="auto"/>
                <w:szCs w:val="21"/>
                <w:highlight w:val="none"/>
                <w:lang w:eastAsia="zh-CN"/>
              </w:rPr>
              <w:t>同等条件</w:t>
            </w:r>
            <w:r>
              <w:rPr>
                <w:rFonts w:hint="default" w:ascii="宋体" w:hAnsi="宋体" w:eastAsia="宋体"/>
                <w:color w:val="auto"/>
                <w:szCs w:val="21"/>
                <w:highlight w:val="none"/>
              </w:rPr>
              <w:t xml:space="preserve">人员上岗的，由采购人根据缺岗天数扣减项目经费，具体如下: </w:t>
            </w:r>
          </w:p>
          <w:p w14:paraId="1885B9E7">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default" w:ascii="宋体" w:hAnsi="宋体" w:eastAsia="宋体"/>
                <w:color w:val="auto"/>
                <w:szCs w:val="21"/>
                <w:highlight w:val="none"/>
              </w:rPr>
            </w:pPr>
            <w:r>
              <w:rPr>
                <w:rFonts w:hint="default" w:ascii="宋体" w:hAnsi="宋体" w:eastAsia="宋体"/>
                <w:color w:val="auto"/>
                <w:szCs w:val="21"/>
                <w:highlight w:val="none"/>
              </w:rPr>
              <w:t xml:space="preserve">1.单个项目人员缺岗15天以上30天（含）以下的，按照每名项目人员人力成本的4%标准扣减； </w:t>
            </w:r>
          </w:p>
          <w:p w14:paraId="46756119">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default" w:ascii="宋体" w:hAnsi="宋体" w:eastAsia="宋体"/>
                <w:color w:val="auto"/>
                <w:szCs w:val="21"/>
                <w:highlight w:val="none"/>
              </w:rPr>
            </w:pPr>
            <w:r>
              <w:rPr>
                <w:rFonts w:hint="default" w:ascii="宋体" w:hAnsi="宋体" w:eastAsia="宋体"/>
                <w:color w:val="auto"/>
                <w:szCs w:val="21"/>
                <w:highlight w:val="none"/>
              </w:rPr>
              <w:t>2.单个项目人员缺岗30天以上45天（含）以下，按照每名项目人员人力成本的8%标准扣减；</w:t>
            </w:r>
          </w:p>
          <w:p w14:paraId="56F140C0">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default" w:ascii="宋体" w:hAnsi="宋体" w:eastAsia="宋体"/>
                <w:color w:val="auto"/>
                <w:szCs w:val="21"/>
                <w:highlight w:val="none"/>
              </w:rPr>
            </w:pPr>
            <w:r>
              <w:rPr>
                <w:rFonts w:hint="default" w:ascii="宋体" w:hAnsi="宋体" w:eastAsia="宋体"/>
                <w:color w:val="auto"/>
                <w:szCs w:val="21"/>
                <w:highlight w:val="none"/>
              </w:rPr>
              <w:t xml:space="preserve">3.单个项目人员缺岗45天以上60天（含）以下的，按照每名项目人员人力成本的12%标准扣减。 </w:t>
            </w:r>
          </w:p>
          <w:p w14:paraId="06B19211">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default" w:ascii="宋体" w:hAnsi="宋体" w:eastAsia="宋体"/>
                <w:color w:val="auto"/>
                <w:szCs w:val="21"/>
                <w:highlight w:val="none"/>
              </w:rPr>
            </w:pPr>
            <w:r>
              <w:rPr>
                <w:rFonts w:hint="default" w:ascii="宋体" w:hAnsi="宋体" w:eastAsia="宋体"/>
                <w:color w:val="auto"/>
                <w:szCs w:val="21"/>
                <w:highlight w:val="none"/>
              </w:rPr>
              <w:t>4.单个项目人员缺岗60天以上90天（含）以下的，按照每名项目人员人力成本的30%标准扣减。</w:t>
            </w:r>
          </w:p>
          <w:p w14:paraId="75679010">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default" w:ascii="宋体" w:hAnsi="宋体" w:eastAsia="宋体"/>
                <w:color w:val="auto"/>
                <w:szCs w:val="21"/>
                <w:highlight w:val="none"/>
              </w:rPr>
            </w:pPr>
            <w:r>
              <w:rPr>
                <w:rFonts w:hint="default" w:ascii="宋体" w:hAnsi="宋体" w:eastAsia="宋体"/>
                <w:color w:val="auto"/>
                <w:szCs w:val="21"/>
                <w:highlight w:val="none"/>
              </w:rPr>
              <w:t xml:space="preserve">5.单个项目人员缺岗90天以上的，按照每名项目人员人力成本的100%标准扣减。 </w:t>
            </w:r>
          </w:p>
          <w:p w14:paraId="50DB92C0">
            <w:pPr>
              <w:pStyle w:val="2"/>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r>
              <w:rPr>
                <w:rFonts w:hint="default" w:ascii="宋体" w:hAnsi="宋体" w:eastAsia="宋体"/>
                <w:color w:val="auto"/>
                <w:szCs w:val="21"/>
                <w:highlight w:val="none"/>
              </w:rPr>
              <w:t>（项目社工人力成本按照9.9万元标准计算</w:t>
            </w:r>
            <w:r>
              <w:rPr>
                <w:rFonts w:hint="default" w:ascii="宋体" w:hAnsi="宋体" w:eastAsia="宋体"/>
                <w:color w:val="auto"/>
                <w:szCs w:val="21"/>
                <w:highlight w:val="none"/>
                <w:lang w:eastAsia="zh-CN"/>
              </w:rPr>
              <w:t>，</w:t>
            </w:r>
            <w:r>
              <w:rPr>
                <w:rFonts w:hint="default" w:ascii="宋体" w:hAnsi="宋体" w:eastAsia="宋体"/>
                <w:color w:val="auto"/>
                <w:szCs w:val="21"/>
                <w:highlight w:val="none"/>
              </w:rPr>
              <w:t>如：项目有两名社工缺岗达20天，按照每名项目人员人力成本的4%标准扣减，则共需扣减9.9万元*4%*2</w:t>
            </w:r>
            <w:r>
              <w:rPr>
                <w:rFonts w:hint="eastAsia" w:hAnsi="宋体"/>
                <w:color w:val="auto"/>
                <w:szCs w:val="21"/>
                <w:highlight w:val="none"/>
                <w:lang w:eastAsia="zh-CN"/>
              </w:rPr>
              <w:t>，此次类推</w:t>
            </w:r>
            <w:r>
              <w:rPr>
                <w:rFonts w:hint="default" w:ascii="宋体" w:hAnsi="宋体" w:eastAsia="宋体"/>
                <w:color w:val="auto"/>
                <w:szCs w:val="21"/>
                <w:highlight w:val="none"/>
              </w:rPr>
              <w:t>） 。扣减部分先从未拨付经费中抵扣，未拨付经费不足以支付扣减部分的，由</w:t>
            </w:r>
            <w:r>
              <w:rPr>
                <w:rFonts w:hint="default" w:ascii="宋体" w:hAnsi="宋体" w:eastAsia="宋体"/>
                <w:color w:val="auto"/>
                <w:szCs w:val="21"/>
                <w:highlight w:val="none"/>
                <w:lang w:eastAsia="zh-CN"/>
              </w:rPr>
              <w:t>中标人</w:t>
            </w:r>
            <w:r>
              <w:rPr>
                <w:rFonts w:hint="eastAsia" w:hAnsi="宋体"/>
                <w:color w:val="auto"/>
                <w:szCs w:val="21"/>
                <w:highlight w:val="none"/>
                <w:lang w:eastAsia="zh-CN"/>
              </w:rPr>
              <w:t>知悉之日起五日内</w:t>
            </w:r>
            <w:r>
              <w:rPr>
                <w:rFonts w:hint="default" w:ascii="宋体" w:hAnsi="宋体" w:eastAsia="宋体"/>
                <w:color w:val="auto"/>
                <w:szCs w:val="21"/>
                <w:highlight w:val="none"/>
              </w:rPr>
              <w:t>退还至采购人指定账户。</w:t>
            </w:r>
          </w:p>
        </w:tc>
      </w:tr>
      <w:tr w14:paraId="21211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72" w:type="pct"/>
            <w:vAlign w:val="center"/>
          </w:tcPr>
          <w:p w14:paraId="4EB1489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5</w:t>
            </w:r>
          </w:p>
        </w:tc>
        <w:tc>
          <w:tcPr>
            <w:tcW w:w="782" w:type="pct"/>
            <w:vAlign w:val="center"/>
          </w:tcPr>
          <w:p w14:paraId="209785B9">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theme="minorBidi"/>
                <w:color w:val="auto"/>
                <w:sz w:val="22"/>
                <w:szCs w:val="21"/>
                <w:highlight w:val="none"/>
                <w:lang w:val="en-US" w:eastAsia="zh-CN" w:bidi="ar-SA"/>
              </w:rPr>
            </w:pPr>
            <w:r>
              <w:rPr>
                <w:rFonts w:ascii="宋体" w:hAnsi="宋体" w:eastAsia="宋体"/>
                <w:color w:val="auto"/>
                <w:szCs w:val="21"/>
                <w:highlight w:val="none"/>
              </w:rPr>
              <w:t>合同条款</w:t>
            </w:r>
          </w:p>
        </w:tc>
        <w:tc>
          <w:tcPr>
            <w:tcW w:w="3845" w:type="pct"/>
            <w:vAlign w:val="center"/>
          </w:tcPr>
          <w:p w14:paraId="25056F97">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ascii="宋体" w:hAnsi="宋体" w:eastAsia="宋体" w:cstheme="minorBidi"/>
                <w:color w:val="auto"/>
                <w:sz w:val="22"/>
                <w:szCs w:val="21"/>
                <w:highlight w:val="none"/>
                <w:lang w:val="en-US" w:eastAsia="zh-CN" w:bidi="ar-SA"/>
              </w:rPr>
            </w:pPr>
            <w:r>
              <w:rPr>
                <w:rFonts w:hint="eastAsia" w:ascii="宋体" w:hAnsi="宋体" w:eastAsia="宋体"/>
                <w:color w:val="auto"/>
                <w:szCs w:val="21"/>
                <w:highlight w:val="none"/>
              </w:rPr>
              <w:t>供应商</w:t>
            </w:r>
            <w:r>
              <w:rPr>
                <w:rFonts w:ascii="宋体" w:hAnsi="宋体" w:eastAsia="宋体"/>
                <w:color w:val="auto"/>
                <w:szCs w:val="21"/>
                <w:highlight w:val="none"/>
              </w:rPr>
              <w:t>实质响应合同各条款。</w:t>
            </w:r>
          </w:p>
        </w:tc>
      </w:tr>
      <w:tr w14:paraId="03010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372" w:type="pct"/>
            <w:vAlign w:val="center"/>
          </w:tcPr>
          <w:p w14:paraId="62395B8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6</w:t>
            </w:r>
          </w:p>
        </w:tc>
        <w:tc>
          <w:tcPr>
            <w:tcW w:w="782" w:type="pct"/>
            <w:vAlign w:val="center"/>
          </w:tcPr>
          <w:p w14:paraId="283D5C01">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宋体" w:hAnsi="宋体" w:eastAsia="宋体"/>
                <w:color w:val="auto"/>
                <w:szCs w:val="21"/>
                <w:highlight w:val="none"/>
              </w:rPr>
            </w:pPr>
            <w:r>
              <w:rPr>
                <w:rFonts w:ascii="宋体" w:hAnsi="宋体" w:eastAsia="宋体"/>
                <w:color w:val="auto"/>
                <w:szCs w:val="21"/>
                <w:highlight w:val="none"/>
              </w:rPr>
              <w:t>其它要求</w:t>
            </w:r>
          </w:p>
        </w:tc>
        <w:tc>
          <w:tcPr>
            <w:tcW w:w="3845" w:type="pct"/>
            <w:vAlign w:val="center"/>
          </w:tcPr>
          <w:p w14:paraId="3EE5C9C9">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参与本项目的投标人应是依法在民政部门登记或经国务院批准免予登记，拥有一支能够熟练掌握和灵活运用社会工作知识、方法和技能的专业队伍，具备完善的内部治理结构、健全的规章制度、良好的社会公信力以及较强的公益项目运营管理和社会工作专业服务能力的社会组织。具备相应条件和能力的公益二类和从事生产经营活动的事业单位，以及依法成立的企业等社会力量也可投标。</w:t>
            </w:r>
          </w:p>
          <w:p w14:paraId="34843063">
            <w:pPr>
              <w:keepNext w:val="0"/>
              <w:keepLines w:val="0"/>
              <w:pageBreakBefore w:val="0"/>
              <w:widowControl/>
              <w:kinsoku/>
              <w:wordWrap/>
              <w:overflowPunct/>
              <w:topLinePunct w:val="0"/>
              <w:autoSpaceDE/>
              <w:autoSpaceDN/>
              <w:bidi w:val="0"/>
              <w:adjustRightInd/>
              <w:snapToGrid/>
              <w:spacing w:after="0" w:line="360" w:lineRule="auto"/>
              <w:ind w:firstLine="440" w:firstLineChars="200"/>
              <w:jc w:val="both"/>
              <w:textAlignment w:val="auto"/>
              <w:rPr>
                <w:rFonts w:ascii="宋体" w:hAnsi="宋体" w:eastAsia="宋体"/>
                <w:b/>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投标人应充分结合本招标文件上下文了解项目招标需求、采购文件未尽事宜，将在合同签订或项目执行过程中双方协商确定，供应商须无条件满足采购单位的合理要求。</w:t>
            </w:r>
          </w:p>
        </w:tc>
      </w:tr>
    </w:tbl>
    <w:p w14:paraId="518F0803">
      <w:pPr>
        <w:pageBreakBefore w:val="0"/>
        <w:kinsoku/>
        <w:topLinePunct w:val="0"/>
        <w:autoSpaceDE/>
        <w:autoSpaceDN/>
        <w:bidi w:val="0"/>
        <w:spacing w:line="360" w:lineRule="auto"/>
        <w:rPr>
          <w:rFonts w:hint="eastAsia" w:ascii="宋体" w:hAnsi="宋体" w:eastAsia="宋体" w:cstheme="minorBidi"/>
          <w:b/>
          <w:color w:val="auto"/>
          <w:sz w:val="24"/>
          <w:szCs w:val="22"/>
          <w:highlight w:val="none"/>
          <w:lang w:val="en-US" w:eastAsia="zh-CN" w:bidi="ar-SA"/>
        </w:rPr>
      </w:pPr>
      <w:r>
        <w:rPr>
          <w:rFonts w:hint="eastAsia" w:ascii="宋体" w:hAnsi="宋体" w:eastAsia="宋体" w:cstheme="minorBidi"/>
          <w:b/>
          <w:color w:val="auto"/>
          <w:sz w:val="24"/>
          <w:szCs w:val="22"/>
          <w:highlight w:val="none"/>
          <w:lang w:val="en-US" w:eastAsia="zh-CN" w:bidi="ar-SA"/>
        </w:rPr>
        <w:br w:type="page"/>
      </w:r>
    </w:p>
    <w:p w14:paraId="58C597C6">
      <w:pPr>
        <w:pageBreakBefore w:val="0"/>
        <w:kinsoku/>
        <w:topLinePunct w:val="0"/>
        <w:autoSpaceDE/>
        <w:autoSpaceDN/>
        <w:bidi w:val="0"/>
        <w:spacing w:line="360" w:lineRule="auto"/>
        <w:jc w:val="center"/>
        <w:rPr>
          <w:rFonts w:hint="eastAsia" w:ascii="宋体" w:hAnsi="宋体" w:eastAsia="微软雅黑"/>
          <w:color w:val="auto"/>
          <w:sz w:val="21"/>
          <w:szCs w:val="21"/>
          <w:highlight w:val="none"/>
          <w:lang w:eastAsia="zh-CN"/>
        </w:rPr>
      </w:pPr>
      <w:r>
        <w:rPr>
          <w:rFonts w:hint="eastAsia" w:ascii="宋体" w:hAnsi="宋体" w:eastAsia="宋体" w:cstheme="minorBidi"/>
          <w:b/>
          <w:color w:val="auto"/>
          <w:sz w:val="28"/>
          <w:szCs w:val="24"/>
          <w:highlight w:val="none"/>
          <w:lang w:val="en-US" w:eastAsia="zh-CN" w:bidi="ar-SA"/>
        </w:rPr>
        <w:t>技术需求书</w:t>
      </w:r>
    </w:p>
    <w:p w14:paraId="070CF582">
      <w:pPr>
        <w:pStyle w:val="48"/>
        <w:keepNext w:val="0"/>
        <w:keepLines w:val="0"/>
        <w:pageBreakBefore w:val="0"/>
        <w:kinsoku/>
        <w:wordWrap/>
        <w:overflowPunct/>
        <w:topLinePunct w:val="0"/>
        <w:autoSpaceDE/>
        <w:autoSpaceDN/>
        <w:bidi w:val="0"/>
        <w:spacing w:after="0" w:line="360" w:lineRule="auto"/>
        <w:ind w:left="0"/>
        <w:textAlignment w:val="auto"/>
        <w:rPr>
          <w:rFonts w:hint="eastAsia" w:ascii="宋体" w:hAnsi="宋体" w:eastAsia="宋体" w:cs="宋体"/>
          <w:color w:val="auto"/>
          <w:sz w:val="21"/>
          <w:szCs w:val="21"/>
          <w:highlight w:val="none"/>
        </w:rPr>
      </w:pPr>
      <w:bookmarkStart w:id="6" w:name="_Toc14462"/>
      <w:bookmarkStart w:id="7" w:name="_Toc13112"/>
      <w:bookmarkStart w:id="8" w:name="_Toc31278"/>
      <w:bookmarkStart w:id="9" w:name="_Toc24679"/>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内容</w:t>
      </w:r>
    </w:p>
    <w:p w14:paraId="5FDB9DBC">
      <w:pPr>
        <w:pStyle w:val="48"/>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幸福加油站一婚姻护航”婚姻家庭辅导项目</w:t>
      </w:r>
      <w:r>
        <w:rPr>
          <w:rFonts w:hint="eastAsia" w:ascii="宋体" w:hAnsi="宋体" w:eastAsia="宋体" w:cs="宋体"/>
          <w:color w:val="auto"/>
          <w:sz w:val="21"/>
          <w:szCs w:val="21"/>
          <w:highlight w:val="none"/>
          <w:shd w:val="clear" w:color="auto" w:fill="FFFFFF"/>
        </w:rPr>
        <w:t>主要为全市婚姻当事人</w:t>
      </w:r>
      <w:r>
        <w:rPr>
          <w:rFonts w:hint="eastAsia" w:ascii="宋体" w:hAnsi="宋体" w:eastAsia="宋体" w:cs="宋体"/>
          <w:color w:val="auto"/>
          <w:sz w:val="21"/>
          <w:szCs w:val="21"/>
          <w:highlight w:val="none"/>
          <w:shd w:val="clear" w:color="auto" w:fill="FFFFFF"/>
          <w:lang w:eastAsia="zh-CN"/>
        </w:rPr>
        <w:t>及符合婚姻登记的外来务工人员</w:t>
      </w:r>
      <w:r>
        <w:rPr>
          <w:rFonts w:hint="eastAsia" w:ascii="宋体" w:hAnsi="宋体" w:eastAsia="宋体" w:cs="宋体"/>
          <w:color w:val="auto"/>
          <w:sz w:val="21"/>
          <w:szCs w:val="21"/>
          <w:highlight w:val="none"/>
          <w:shd w:val="clear" w:color="auto" w:fill="FFFFFF"/>
        </w:rPr>
        <w:t>提供婚姻家庭辅导</w:t>
      </w:r>
      <w:r>
        <w:rPr>
          <w:rFonts w:hint="eastAsia" w:ascii="宋体" w:hAnsi="宋体" w:eastAsia="宋体" w:cs="宋体"/>
          <w:color w:val="auto"/>
          <w:sz w:val="21"/>
          <w:szCs w:val="21"/>
          <w:highlight w:val="none"/>
          <w:shd w:val="clear" w:color="auto" w:fill="FFFFFF"/>
          <w:lang w:eastAsia="zh-CN"/>
        </w:rPr>
        <w:t>服务，</w:t>
      </w:r>
      <w:r>
        <w:rPr>
          <w:rFonts w:hint="eastAsia" w:ascii="宋体" w:hAnsi="宋体" w:eastAsia="宋体" w:cs="宋体"/>
          <w:color w:val="auto"/>
          <w:sz w:val="21"/>
          <w:szCs w:val="21"/>
          <w:highlight w:val="none"/>
          <w:shd w:val="clear" w:color="auto" w:fill="FFFFFF"/>
        </w:rPr>
        <w:t>包括离婚调解及婚姻危机干预、新婚辅导、优生优育、法律法规宣传以及好家风好家教好家训宣传、婚俗改革宣传等服务，帮助婚姻当事人排解各种婚姻、家庭危机，最大限度地保护婚姻、维护家庭稳定。</w:t>
      </w:r>
    </w:p>
    <w:p w14:paraId="1F577272">
      <w:pPr>
        <w:keepNext w:val="0"/>
        <w:keepLines w:val="0"/>
        <w:pageBreakBefore w:val="0"/>
        <w:numPr>
          <w:ilvl w:val="0"/>
          <w:numId w:val="1"/>
        </w:numPr>
        <w:tabs>
          <w:tab w:val="left" w:pos="7303"/>
        </w:tabs>
        <w:kinsoku/>
        <w:wordWrap/>
        <w:overflowPunct/>
        <w:topLinePunct w:val="0"/>
        <w:autoSpaceDE/>
        <w:autoSpaceDN/>
        <w:bidi w:val="0"/>
        <w:spacing w:after="0"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133"/>
        <w:gridCol w:w="3128"/>
      </w:tblGrid>
      <w:tr w14:paraId="5F05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409B8BC1">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序号</w:t>
            </w:r>
          </w:p>
        </w:tc>
        <w:tc>
          <w:tcPr>
            <w:tcW w:w="4133" w:type="dxa"/>
            <w:tcBorders>
              <w:top w:val="single" w:color="auto" w:sz="4" w:space="0"/>
              <w:left w:val="single" w:color="auto" w:sz="4" w:space="0"/>
              <w:bottom w:val="single" w:color="auto" w:sz="4" w:space="0"/>
              <w:right w:val="single" w:color="auto" w:sz="4" w:space="0"/>
            </w:tcBorders>
            <w:noWrap w:val="0"/>
            <w:vAlign w:val="top"/>
          </w:tcPr>
          <w:p w14:paraId="34451DCA">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服务名称</w:t>
            </w:r>
          </w:p>
        </w:tc>
        <w:tc>
          <w:tcPr>
            <w:tcW w:w="3128" w:type="dxa"/>
            <w:tcBorders>
              <w:top w:val="single" w:color="auto" w:sz="4" w:space="0"/>
              <w:left w:val="single" w:color="auto" w:sz="4" w:space="0"/>
              <w:bottom w:val="single" w:color="auto" w:sz="4" w:space="0"/>
              <w:right w:val="single" w:color="auto" w:sz="4" w:space="0"/>
            </w:tcBorders>
            <w:noWrap w:val="0"/>
            <w:vAlign w:val="top"/>
          </w:tcPr>
          <w:p w14:paraId="411F864A">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年均产出量</w:t>
            </w:r>
          </w:p>
        </w:tc>
      </w:tr>
      <w:tr w14:paraId="4358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7DAB9987">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1</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1C479872">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个案服务</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6AD08F47">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50</w:t>
            </w:r>
            <w:r>
              <w:rPr>
                <w:rFonts w:hint="default" w:ascii="宋体" w:hAnsi="宋体" w:eastAsia="宋体" w:cs="宋体"/>
                <w:color w:val="auto"/>
                <w:sz w:val="21"/>
                <w:szCs w:val="21"/>
                <w:highlight w:val="none"/>
                <w:shd w:val="clear" w:color="auto" w:fill="FFFFFF"/>
                <w:lang w:val="en-US" w:eastAsia="zh-CN" w:bidi="ar-SA"/>
              </w:rPr>
              <w:t>个</w:t>
            </w:r>
          </w:p>
        </w:tc>
      </w:tr>
      <w:tr w14:paraId="0A5A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628CCA3F">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2</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35767F8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婚姻辅导</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170C6B51">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2500</w:t>
            </w:r>
            <w:r>
              <w:rPr>
                <w:rFonts w:hint="default" w:ascii="宋体" w:hAnsi="宋体" w:eastAsia="宋体" w:cs="宋体"/>
                <w:color w:val="auto"/>
                <w:sz w:val="21"/>
                <w:szCs w:val="21"/>
                <w:highlight w:val="none"/>
                <w:shd w:val="clear" w:color="auto" w:fill="FFFFFF"/>
                <w:lang w:val="en-US" w:eastAsia="zh-CN" w:bidi="ar-SA"/>
              </w:rPr>
              <w:t>人次</w:t>
            </w:r>
          </w:p>
        </w:tc>
      </w:tr>
      <w:tr w14:paraId="349D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2A0640B7">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3</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39DFAE4F">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咨询</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73D8EF95">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2500</w:t>
            </w:r>
            <w:r>
              <w:rPr>
                <w:rFonts w:hint="default" w:ascii="宋体" w:hAnsi="宋体" w:eastAsia="宋体" w:cs="宋体"/>
                <w:color w:val="auto"/>
                <w:sz w:val="21"/>
                <w:szCs w:val="21"/>
                <w:highlight w:val="none"/>
                <w:shd w:val="clear" w:color="auto" w:fill="FFFFFF"/>
                <w:lang w:val="en-US" w:eastAsia="zh-CN" w:bidi="ar-SA"/>
              </w:rPr>
              <w:t>人次</w:t>
            </w:r>
          </w:p>
        </w:tc>
      </w:tr>
      <w:tr w14:paraId="3CFA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71E06E42">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4</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0260263B">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活动</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7616B120">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25</w:t>
            </w:r>
            <w:r>
              <w:rPr>
                <w:rFonts w:hint="default" w:ascii="宋体" w:hAnsi="宋体" w:eastAsia="宋体" w:cs="宋体"/>
                <w:color w:val="auto"/>
                <w:sz w:val="21"/>
                <w:szCs w:val="21"/>
                <w:highlight w:val="none"/>
                <w:shd w:val="clear" w:color="auto" w:fill="FFFFFF"/>
                <w:lang w:val="en-US" w:eastAsia="zh-CN" w:bidi="ar-SA"/>
              </w:rPr>
              <w:t>个</w:t>
            </w:r>
          </w:p>
        </w:tc>
      </w:tr>
      <w:tr w14:paraId="45E3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0FF644E8">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5</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7B5F05BF">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服务总结</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3166B87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2份</w:t>
            </w:r>
          </w:p>
        </w:tc>
      </w:tr>
      <w:tr w14:paraId="3126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1843DEA2">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6</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213BA02D">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社工服务反思和服务探讨</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3D7D98F5">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1宗</w:t>
            </w:r>
          </w:p>
        </w:tc>
      </w:tr>
      <w:tr w14:paraId="6128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6DFCA54B">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7</w:t>
            </w:r>
          </w:p>
        </w:tc>
        <w:tc>
          <w:tcPr>
            <w:tcW w:w="4133" w:type="dxa"/>
            <w:tcBorders>
              <w:top w:val="single" w:color="auto" w:sz="4" w:space="0"/>
              <w:left w:val="single" w:color="auto" w:sz="4" w:space="0"/>
              <w:bottom w:val="single" w:color="auto" w:sz="4" w:space="0"/>
              <w:right w:val="single" w:color="auto" w:sz="4" w:space="0"/>
            </w:tcBorders>
            <w:noWrap w:val="0"/>
            <w:vAlign w:val="top"/>
          </w:tcPr>
          <w:p w14:paraId="60ACB0F0">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媒体报道</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0DE9CAB4">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10</w:t>
            </w:r>
            <w:r>
              <w:rPr>
                <w:rFonts w:hint="default" w:ascii="宋体" w:hAnsi="宋体" w:eastAsia="宋体" w:cs="宋体"/>
                <w:color w:val="auto"/>
                <w:sz w:val="21"/>
                <w:szCs w:val="21"/>
                <w:highlight w:val="none"/>
                <w:shd w:val="clear" w:color="auto" w:fill="FFFFFF"/>
                <w:lang w:val="en-US" w:eastAsia="zh-CN" w:bidi="ar-SA"/>
              </w:rPr>
              <w:t>次以上</w:t>
            </w:r>
          </w:p>
        </w:tc>
      </w:tr>
      <w:tr w14:paraId="11FA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42678BF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8</w:t>
            </w:r>
          </w:p>
        </w:tc>
        <w:tc>
          <w:tcPr>
            <w:tcW w:w="4133" w:type="dxa"/>
            <w:tcBorders>
              <w:top w:val="single" w:color="auto" w:sz="4" w:space="0"/>
              <w:left w:val="single" w:color="auto" w:sz="4" w:space="0"/>
              <w:bottom w:val="single" w:color="auto" w:sz="4" w:space="0"/>
              <w:right w:val="single" w:color="auto" w:sz="4" w:space="0"/>
            </w:tcBorders>
            <w:noWrap w:val="0"/>
            <w:vAlign w:val="top"/>
          </w:tcPr>
          <w:p w14:paraId="0F6CBE77">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服务单位交办的其他工作（视需要而定）</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28A912D4">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w:t>
            </w:r>
          </w:p>
        </w:tc>
      </w:tr>
    </w:tbl>
    <w:p w14:paraId="0D80CE52">
      <w:pPr>
        <w:keepNext w:val="0"/>
        <w:keepLines w:val="0"/>
        <w:pageBreakBefore w:val="0"/>
        <w:kinsoku/>
        <w:wordWrap/>
        <w:overflowPunct/>
        <w:topLinePunct w:val="0"/>
        <w:autoSpaceDE/>
        <w:autoSpaceDN/>
        <w:bidi w:val="0"/>
        <w:spacing w:after="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、服务要求</w:t>
      </w:r>
    </w:p>
    <w:p w14:paraId="008DB42A">
      <w:pPr>
        <w:pStyle w:val="7"/>
        <w:keepNext w:val="0"/>
        <w:keepLines w:val="0"/>
        <w:pageBreakBefore w:val="0"/>
        <w:kinsoku/>
        <w:wordWrap/>
        <w:overflowPunct/>
        <w:topLinePunct w:val="0"/>
        <w:autoSpaceDE/>
        <w:autoSpaceDN/>
        <w:bidi w:val="0"/>
        <w:spacing w:before="0" w:after="0" w:line="360" w:lineRule="exact"/>
        <w:ind w:lef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Times New Roman"/>
          <w:b/>
          <w:bCs/>
          <w:color w:val="auto"/>
          <w:sz w:val="21"/>
          <w:szCs w:val="21"/>
          <w:highlight w:val="none"/>
        </w:rPr>
        <w:t>★</w:t>
      </w:r>
      <w:r>
        <w:rPr>
          <w:rFonts w:hint="eastAsia" w:ascii="宋体" w:hAnsi="宋体" w:eastAsia="宋体" w:cs="宋体"/>
          <w:b/>
          <w:bCs/>
          <w:color w:val="auto"/>
          <w:sz w:val="21"/>
          <w:szCs w:val="21"/>
          <w:highlight w:val="none"/>
        </w:rPr>
        <w:t>（一）项目人员配备要求</w:t>
      </w:r>
    </w:p>
    <w:p w14:paraId="787EC451">
      <w:pPr>
        <w:pStyle w:val="2"/>
        <w:keepNext w:val="0"/>
        <w:keepLines w:val="0"/>
        <w:pageBreakBefore w:val="0"/>
        <w:kinsoku/>
        <w:wordWrap/>
        <w:overflowPunct/>
        <w:topLinePunct w:val="0"/>
        <w:autoSpaceDE/>
        <w:autoSpaceDN/>
        <w:bidi w:val="0"/>
        <w:spacing w:after="0" w:line="360" w:lineRule="exact"/>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1.人员配备数量要求                        </w:t>
      </w:r>
    </w:p>
    <w:p w14:paraId="5AE0F14D">
      <w:pPr>
        <w:pStyle w:val="2"/>
        <w:keepNext w:val="0"/>
        <w:keepLines w:val="0"/>
        <w:pageBreakBefore w:val="0"/>
        <w:kinsoku/>
        <w:wordWrap/>
        <w:overflowPunct/>
        <w:topLinePunct w:val="0"/>
        <w:autoSpaceDE/>
        <w:autoSpaceDN/>
        <w:bidi w:val="0"/>
        <w:spacing w:after="0" w:line="360" w:lineRule="exact"/>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rPr>
        <w:t>应本着服务至上、诚信为本的宗旨，为采购人委派</w:t>
      </w:r>
      <w:r>
        <w:rPr>
          <w:rFonts w:hint="eastAsia"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名</w:t>
      </w:r>
      <w:r>
        <w:rPr>
          <w:rFonts w:hint="eastAsia" w:ascii="宋体" w:hAnsi="宋体" w:eastAsia="宋体" w:cs="宋体"/>
          <w:b w:val="0"/>
          <w:bCs w:val="0"/>
          <w:color w:val="auto"/>
          <w:sz w:val="21"/>
          <w:szCs w:val="21"/>
          <w:highlight w:val="none"/>
        </w:rPr>
        <w:t>身体健康并符合要求的项目人员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项目计划设置项目主管1人（负责统筹、协调、执行项目服务），项目社工</w:t>
      </w:r>
      <w:r>
        <w:rPr>
          <w:rFonts w:hint="eastAsia"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人（负责执行项目服务）。</w:t>
      </w:r>
    </w:p>
    <w:p w14:paraId="6A6B3413">
      <w:pPr>
        <w:pStyle w:val="2"/>
        <w:keepNext w:val="0"/>
        <w:keepLines w:val="0"/>
        <w:pageBreakBefore w:val="0"/>
        <w:kinsoku/>
        <w:wordWrap/>
        <w:overflowPunct/>
        <w:topLinePunct w:val="0"/>
        <w:autoSpaceDE/>
        <w:autoSpaceDN/>
        <w:bidi w:val="0"/>
        <w:spacing w:after="0" w:line="360" w:lineRule="exact"/>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2.人员资质要求</w:t>
      </w:r>
    </w:p>
    <w:p w14:paraId="3952D610">
      <w:pPr>
        <w:pStyle w:val="2"/>
        <w:keepNext w:val="0"/>
        <w:keepLines w:val="0"/>
        <w:pageBreakBefore w:val="0"/>
        <w:kinsoku/>
        <w:wordWrap/>
        <w:overflowPunct/>
        <w:topLinePunct w:val="0"/>
        <w:autoSpaceDE/>
        <w:autoSpaceDN/>
        <w:bidi w:val="0"/>
        <w:spacing w:after="0" w:line="360" w:lineRule="exact"/>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1</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rPr>
        <w:t>配备的项目社工应通过全国社会工作者职业水平考试，获得助理级社工师或中级社工师资格证书</w:t>
      </w:r>
      <w:r>
        <w:rPr>
          <w:rFonts w:hint="eastAsia" w:ascii="宋体" w:hAnsi="宋体" w:eastAsia="宋体" w:cs="宋体"/>
          <w:b w:val="0"/>
          <w:bCs w:val="0"/>
          <w:color w:val="auto"/>
          <w:sz w:val="21"/>
          <w:szCs w:val="21"/>
          <w:highlight w:val="none"/>
          <w:lang w:eastAsia="zh-CN"/>
        </w:rPr>
        <w:t>；至少</w:t>
      </w:r>
      <w:r>
        <w:rPr>
          <w:rFonts w:hint="eastAsia" w:ascii="宋体" w:hAnsi="宋体" w:eastAsia="宋体" w:cs="宋体"/>
          <w:b w:val="0"/>
          <w:bCs w:val="0"/>
          <w:color w:val="auto"/>
          <w:sz w:val="21"/>
          <w:szCs w:val="21"/>
          <w:highlight w:val="none"/>
          <w:lang w:val="en-US" w:eastAsia="zh-CN"/>
        </w:rPr>
        <w:t>1人获得心理咨询师或婚姻家庭咨询师资格证书。</w:t>
      </w:r>
    </w:p>
    <w:p w14:paraId="6989A90C">
      <w:pPr>
        <w:pStyle w:val="2"/>
        <w:keepNext w:val="0"/>
        <w:keepLines w:val="0"/>
        <w:pageBreakBefore w:val="0"/>
        <w:kinsoku/>
        <w:wordWrap/>
        <w:overflowPunct/>
        <w:topLinePunct w:val="0"/>
        <w:autoSpaceDE/>
        <w:autoSpaceDN/>
        <w:bidi w:val="0"/>
        <w:spacing w:after="0" w:line="360" w:lineRule="exact"/>
        <w:ind w:left="0" w:firstLine="420" w:firstLineChars="200"/>
        <w:textAlignment w:val="auto"/>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eastAsia="zh-CN"/>
        </w:rPr>
        <w:t>（2）拟投入项目人数达5人以上的，按照</w:t>
      </w:r>
      <w:r>
        <w:rPr>
          <w:rFonts w:hint="eastAsia" w:hAnsi="宋体" w:cs="宋体"/>
          <w:b w:val="0"/>
          <w:bCs w:val="0"/>
          <w:color w:val="FF0000"/>
          <w:sz w:val="21"/>
          <w:szCs w:val="21"/>
          <w:highlight w:val="none"/>
          <w:lang w:val="en-US" w:eastAsia="zh-CN"/>
        </w:rPr>
        <w:t>2:3</w:t>
      </w:r>
      <w:r>
        <w:rPr>
          <w:rFonts w:hint="eastAsia" w:hAnsi="宋体" w:cs="宋体"/>
          <w:b w:val="0"/>
          <w:bCs w:val="0"/>
          <w:color w:val="FF0000"/>
          <w:sz w:val="21"/>
          <w:szCs w:val="21"/>
          <w:highlight w:val="none"/>
          <w:lang w:eastAsia="zh-CN"/>
        </w:rPr>
        <w:t>比例</w:t>
      </w:r>
      <w:r>
        <w:rPr>
          <w:rFonts w:hint="eastAsia" w:hAnsi="宋体" w:cs="宋体"/>
          <w:b w:val="0"/>
          <w:bCs w:val="0"/>
          <w:color w:val="auto"/>
          <w:sz w:val="21"/>
          <w:szCs w:val="21"/>
          <w:highlight w:val="none"/>
          <w:lang w:eastAsia="zh-CN"/>
        </w:rPr>
        <w:t>配备（中、高级）社会工作师和助理社会工作师。</w:t>
      </w:r>
    </w:p>
    <w:p w14:paraId="0DD28E72">
      <w:pPr>
        <w:pStyle w:val="2"/>
        <w:keepNext w:val="0"/>
        <w:keepLines w:val="0"/>
        <w:pageBreakBefore w:val="0"/>
        <w:kinsoku/>
        <w:wordWrap/>
        <w:overflowPunct/>
        <w:topLinePunct w:val="0"/>
        <w:autoSpaceDE/>
        <w:autoSpaceDN/>
        <w:bidi w:val="0"/>
        <w:spacing w:after="0" w:line="360" w:lineRule="exact"/>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（二）其他服务要求</w:t>
      </w:r>
    </w:p>
    <w:p w14:paraId="1690C5AC">
      <w:pPr>
        <w:keepNext w:val="0"/>
        <w:keepLines w:val="0"/>
        <w:pageBreakBefore w:val="0"/>
        <w:kinsoku/>
        <w:wordWrap/>
        <w:overflowPunct/>
        <w:topLinePunct w:val="0"/>
        <w:autoSpaceDE/>
        <w:autoSpaceDN/>
        <w:bidi w:val="0"/>
        <w:spacing w:after="0" w:line="3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与项目人员建立劳动关系，订立和履行劳动合同，支付工资并交纳相关的社会保险金等费用。其中社工人力成本发放应符合《东莞市人民政府办公室关于印发〈东莞市政府购买社会工作服务实施办法〉的通知》（东府办〔2021〕8号）以及《东莞市民政局 东莞市财政局关于印发〈政府购买社会工作服务资金使用管理办法〉的通知》（东民规〔2021〕2号）有关规定。</w:t>
      </w:r>
    </w:p>
    <w:p w14:paraId="213A4900">
      <w:pPr>
        <w:keepNext w:val="0"/>
        <w:keepLines w:val="0"/>
        <w:pageBreakBefore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中标人应</w:t>
      </w:r>
      <w:r>
        <w:rPr>
          <w:rFonts w:hint="eastAsia" w:ascii="宋体" w:hAnsi="宋体" w:eastAsia="宋体" w:cs="宋体"/>
          <w:color w:val="auto"/>
          <w:sz w:val="21"/>
          <w:szCs w:val="21"/>
          <w:highlight w:val="none"/>
        </w:rPr>
        <w:t>安排符合要求的项目人员，并提前向采购人及服务单位</w:t>
      </w:r>
      <w:r>
        <w:rPr>
          <w:rFonts w:hint="eastAsia" w:ascii="宋体" w:hAnsi="宋体" w:eastAsia="宋体" w:cs="宋体"/>
          <w:color w:val="auto"/>
          <w:sz w:val="21"/>
          <w:szCs w:val="21"/>
          <w:highlight w:val="none"/>
          <w:lang w:val="en-US" w:eastAsia="zh-CN"/>
        </w:rPr>
        <w:t>书面</w:t>
      </w:r>
      <w:r>
        <w:rPr>
          <w:rFonts w:hint="eastAsia" w:ascii="宋体" w:hAnsi="宋体" w:eastAsia="宋体" w:cs="宋体"/>
          <w:color w:val="auto"/>
          <w:sz w:val="21"/>
          <w:szCs w:val="21"/>
          <w:highlight w:val="none"/>
        </w:rPr>
        <w:t>报备项目人员名单，经同意后方可安排上岗。如有人员变更的，需提前报备，征得采购人及服务单位同意后方可变更。</w:t>
      </w:r>
      <w:r>
        <w:rPr>
          <w:rFonts w:hint="eastAsia" w:ascii="宋体" w:hAnsi="宋体" w:eastAsia="宋体"/>
          <w:color w:val="auto"/>
          <w:sz w:val="21"/>
          <w:szCs w:val="21"/>
          <w:highlight w:val="none"/>
          <w:lang w:val="en-US" w:eastAsia="zh-CN"/>
        </w:rPr>
        <w:t>服务单位应每月核准中标人项目人员在岗情况，并向采购人报送中标人项目人员在岗情况。</w:t>
      </w:r>
    </w:p>
    <w:p w14:paraId="6797A0FE">
      <w:pPr>
        <w:pStyle w:val="7"/>
        <w:keepNext w:val="0"/>
        <w:keepLines w:val="0"/>
        <w:pageBreakBefore w:val="0"/>
        <w:kinsoku/>
        <w:wordWrap/>
        <w:overflowPunct/>
        <w:topLinePunct w:val="0"/>
        <w:autoSpaceDE/>
        <w:autoSpaceDN/>
        <w:bidi w:val="0"/>
        <w:spacing w:before="0" w:after="0" w:line="360" w:lineRule="exact"/>
        <w:ind w:firstLine="420" w:firstLineChars="200"/>
        <w:textAlignment w:val="auto"/>
        <w:rPr>
          <w:rFonts w:hint="eastAsia"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.合同期内，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应每季度提交社工项目工作报告；</w:t>
      </w:r>
      <w:r>
        <w:rPr>
          <w:rFonts w:hint="eastAsia" w:ascii="宋体" w:hAnsi="宋体" w:eastAsia="宋体" w:cstheme="minorBidi"/>
          <w:color w:val="auto"/>
          <w:sz w:val="21"/>
          <w:szCs w:val="21"/>
          <w:highlight w:val="none"/>
          <w:lang w:val="en-US" w:eastAsia="zh-CN" w:bidi="ar-SA"/>
        </w:rPr>
        <w:t>运营满6个月、</w:t>
      </w:r>
      <w:r>
        <w:rPr>
          <w:rFonts w:hint="eastAsia" w:ascii="宋体" w:hAnsi="宋体" w:eastAsia="宋体" w:cs="宋体"/>
          <w:color w:val="auto"/>
          <w:sz w:val="21"/>
          <w:szCs w:val="21"/>
          <w:highlight w:val="none"/>
        </w:rPr>
        <w:t>合同结束后10个工作日内提交社工项目总结报告。</w:t>
      </w:r>
      <w:r>
        <w:rPr>
          <w:rFonts w:hint="eastAsia" w:cs="宋体"/>
          <w:color w:val="auto"/>
          <w:sz w:val="21"/>
          <w:szCs w:val="21"/>
          <w:highlight w:val="none"/>
          <w:lang w:eastAsia="zh-CN"/>
        </w:rPr>
        <w:t>上述报告须经服务单位审核确认后再报送采购人。</w:t>
      </w:r>
    </w:p>
    <w:p w14:paraId="2A975CA2">
      <w:pPr>
        <w:pStyle w:val="7"/>
        <w:keepNext w:val="0"/>
        <w:keepLines w:val="0"/>
        <w:pageBreakBefore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color w:val="auto"/>
          <w:sz w:val="21"/>
          <w:szCs w:val="21"/>
          <w:highlight w:val="none"/>
          <w:lang w:val="en-US" w:eastAsia="zh-CN" w:bidi="zh-CN"/>
        </w:rPr>
      </w:pPr>
      <w:r>
        <w:rPr>
          <w:rFonts w:hint="eastAsia" w:cs="宋体"/>
          <w:color w:val="auto"/>
          <w:sz w:val="21"/>
          <w:szCs w:val="21"/>
          <w:highlight w:val="none"/>
          <w:lang w:val="en-US" w:eastAsia="zh-CN"/>
        </w:rPr>
        <w:t>4.合同期内，中标人应制定督导制度和年度督导计划，</w:t>
      </w:r>
      <w:r>
        <w:rPr>
          <w:rFonts w:hint="eastAsia" w:ascii="宋体" w:hAnsi="宋体" w:eastAsia="宋体" w:cs="宋体"/>
          <w:color w:val="auto"/>
          <w:sz w:val="21"/>
          <w:szCs w:val="21"/>
          <w:highlight w:val="none"/>
          <w:lang w:val="en-US" w:eastAsia="zh-CN" w:bidi="zh-CN"/>
        </w:rPr>
        <w:t>安排督导人员每月至少开展1次现场督导，加强项目人员的专业能力建设，督导服务结束后，需向采购人提交督导</w:t>
      </w:r>
      <w:r>
        <w:rPr>
          <w:rFonts w:hint="eastAsia" w:cs="宋体"/>
          <w:color w:val="auto"/>
          <w:sz w:val="21"/>
          <w:szCs w:val="21"/>
          <w:highlight w:val="none"/>
          <w:lang w:val="en-US" w:eastAsia="zh-CN" w:bidi="zh-CN"/>
        </w:rPr>
        <w:t>服务记录</w:t>
      </w:r>
      <w:r>
        <w:rPr>
          <w:rFonts w:hint="eastAsia" w:ascii="宋体" w:hAnsi="宋体" w:eastAsia="宋体" w:cs="宋体"/>
          <w:color w:val="auto"/>
          <w:sz w:val="21"/>
          <w:szCs w:val="21"/>
          <w:highlight w:val="none"/>
          <w:lang w:val="en-US" w:eastAsia="zh-CN" w:bidi="zh-CN"/>
        </w:rPr>
        <w:t>。</w:t>
      </w:r>
    </w:p>
    <w:p w14:paraId="154A40AF">
      <w:pPr>
        <w:pStyle w:val="7"/>
        <w:keepNext w:val="0"/>
        <w:keepLines w:val="0"/>
        <w:pageBreakBefore w:val="0"/>
        <w:kinsoku/>
        <w:wordWrap/>
        <w:overflowPunct/>
        <w:topLinePunct w:val="0"/>
        <w:autoSpaceDE/>
        <w:autoSpaceDN/>
        <w:bidi w:val="0"/>
        <w:spacing w:before="0" w:after="0" w:line="360" w:lineRule="exact"/>
        <w:ind w:firstLine="420" w:firstLineChars="200"/>
        <w:textAlignment w:val="auto"/>
        <w:rPr>
          <w:rFonts w:hint="default"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5.在合同初期，中标</w:t>
      </w:r>
      <w:r>
        <w:rPr>
          <w:rFonts w:hint="eastAsia" w:cs="宋体"/>
          <w:color w:val="auto"/>
          <w:sz w:val="21"/>
          <w:szCs w:val="21"/>
          <w:highlight w:val="none"/>
          <w:lang w:val="en-US" w:eastAsia="zh-CN" w:bidi="zh-CN"/>
        </w:rPr>
        <w:t>人</w:t>
      </w:r>
      <w:r>
        <w:rPr>
          <w:rFonts w:hint="eastAsia" w:ascii="宋体" w:hAnsi="宋体" w:eastAsia="宋体" w:cs="宋体"/>
          <w:color w:val="auto"/>
          <w:sz w:val="21"/>
          <w:szCs w:val="21"/>
          <w:highlight w:val="none"/>
          <w:lang w:val="en-US" w:eastAsia="zh-CN" w:bidi="zh-CN"/>
        </w:rPr>
        <w:t>需制定与项目要求相符的服务计划，明确服务目标</w:t>
      </w:r>
      <w:r>
        <w:rPr>
          <w:rFonts w:hint="eastAsia" w:cs="宋体"/>
          <w:color w:val="auto"/>
          <w:sz w:val="21"/>
          <w:szCs w:val="21"/>
          <w:highlight w:val="none"/>
          <w:lang w:val="en-US" w:eastAsia="zh-CN" w:bidi="zh-CN"/>
        </w:rPr>
        <w:t>及成效评估方案</w:t>
      </w:r>
      <w:r>
        <w:rPr>
          <w:rFonts w:hint="eastAsia" w:ascii="宋体" w:hAnsi="宋体" w:eastAsia="宋体" w:cs="宋体"/>
          <w:color w:val="auto"/>
          <w:sz w:val="21"/>
          <w:szCs w:val="21"/>
          <w:highlight w:val="none"/>
          <w:lang w:val="en-US" w:eastAsia="zh-CN" w:bidi="zh-CN"/>
        </w:rPr>
        <w:t>；合同期结束后，</w:t>
      </w:r>
      <w:r>
        <w:rPr>
          <w:rFonts w:hint="eastAsia" w:cs="宋体"/>
          <w:color w:val="auto"/>
          <w:sz w:val="21"/>
          <w:szCs w:val="21"/>
          <w:highlight w:val="none"/>
          <w:lang w:val="en-US" w:eastAsia="zh-CN" w:bidi="zh-CN"/>
        </w:rPr>
        <w:t>需</w:t>
      </w:r>
      <w:r>
        <w:rPr>
          <w:rFonts w:hint="eastAsia" w:ascii="宋体" w:hAnsi="宋体" w:eastAsia="宋体" w:cs="宋体"/>
          <w:color w:val="auto"/>
          <w:sz w:val="21"/>
          <w:szCs w:val="21"/>
          <w:highlight w:val="none"/>
          <w:lang w:val="en-US" w:eastAsia="zh-CN" w:bidi="zh-CN"/>
        </w:rPr>
        <w:t>对服务内容、过程、目标达成情况等内容进行成效评估并</w:t>
      </w:r>
      <w:r>
        <w:rPr>
          <w:rFonts w:hint="eastAsia" w:cs="宋体"/>
          <w:color w:val="auto"/>
          <w:sz w:val="21"/>
          <w:szCs w:val="21"/>
          <w:highlight w:val="none"/>
          <w:lang w:val="en-US" w:eastAsia="zh-CN" w:bidi="zh-CN"/>
        </w:rPr>
        <w:t>形成服务总结报告。</w:t>
      </w:r>
    </w:p>
    <w:p w14:paraId="2CD7E17B">
      <w:pPr>
        <w:keepNext w:val="0"/>
        <w:keepLines w:val="0"/>
        <w:pageBreakBefore w:val="0"/>
        <w:widowControl/>
        <w:kinsoku/>
        <w:wordWrap/>
        <w:overflowPunct/>
        <w:topLinePunct w:val="0"/>
        <w:autoSpaceDE/>
        <w:autoSpaceDN/>
        <w:bidi w:val="0"/>
        <w:adjustRightInd w:val="0"/>
        <w:snapToGrid w:val="0"/>
        <w:spacing w:after="0" w:line="360" w:lineRule="exact"/>
        <w:ind w:firstLine="422" w:firstLineChars="200"/>
        <w:textAlignment w:val="auto"/>
        <w:rPr>
          <w:rFonts w:eastAsiaTheme="minorEastAsia"/>
          <w:b/>
          <w:color w:val="auto"/>
          <w:sz w:val="21"/>
          <w:szCs w:val="21"/>
          <w:highlight w:val="none"/>
        </w:rPr>
      </w:pPr>
      <w:bookmarkStart w:id="10" w:name="OLE_LINK2"/>
      <w:r>
        <w:rPr>
          <w:rFonts w:hint="eastAsia" w:eastAsiaTheme="minorEastAsia"/>
          <w:b/>
          <w:color w:val="auto"/>
          <w:sz w:val="21"/>
          <w:szCs w:val="21"/>
          <w:highlight w:val="none"/>
          <w:lang w:eastAsia="zh-CN"/>
        </w:rPr>
        <w:t>三、</w:t>
      </w:r>
      <w:r>
        <w:rPr>
          <w:rFonts w:hint="eastAsia" w:eastAsiaTheme="minorEastAsia"/>
          <w:b/>
          <w:color w:val="auto"/>
          <w:sz w:val="21"/>
          <w:szCs w:val="21"/>
          <w:highlight w:val="none"/>
        </w:rPr>
        <w:t>培训要求</w:t>
      </w:r>
    </w:p>
    <w:p w14:paraId="70780C6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eastAsiaTheme="minorEastAsia"/>
          <w:bCs/>
          <w:color w:val="auto"/>
          <w:sz w:val="21"/>
          <w:szCs w:val="21"/>
          <w:highlight w:val="none"/>
        </w:rPr>
      </w:pPr>
      <w:r>
        <w:rPr>
          <w:rFonts w:hint="eastAsia" w:eastAsiaTheme="minorEastAsia"/>
          <w:bCs/>
          <w:color w:val="auto"/>
          <w:sz w:val="21"/>
          <w:szCs w:val="21"/>
          <w:highlight w:val="none"/>
        </w:rPr>
        <w:t>（一）培训对象。服务期内，中标人须针对拟投入项目人员开展培训。</w:t>
      </w:r>
    </w:p>
    <w:p w14:paraId="24C6D0C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eastAsiaTheme="minorEastAsia"/>
          <w:bCs/>
          <w:color w:val="auto"/>
          <w:sz w:val="21"/>
          <w:szCs w:val="21"/>
          <w:highlight w:val="none"/>
        </w:rPr>
      </w:pPr>
      <w:r>
        <w:rPr>
          <w:rFonts w:hint="eastAsia" w:eastAsiaTheme="minorEastAsia"/>
          <w:bCs/>
          <w:color w:val="auto"/>
          <w:sz w:val="21"/>
          <w:szCs w:val="21"/>
          <w:highlight w:val="none"/>
        </w:rPr>
        <w:t>（二）培训内容与形式。培训内容可包括社会工作理论、实务技巧、团队管理、项目管理等内容。培训形式可采用集中培训、线上授课、专题讲座、工作坊、参访交流等多种形式。</w:t>
      </w:r>
    </w:p>
    <w:p w14:paraId="6619A061">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eastAsiaTheme="minorEastAsia"/>
          <w:bCs/>
          <w:color w:val="auto"/>
          <w:sz w:val="21"/>
          <w:szCs w:val="21"/>
          <w:highlight w:val="none"/>
        </w:rPr>
      </w:pPr>
      <w:r>
        <w:rPr>
          <w:rFonts w:hint="eastAsia" w:eastAsiaTheme="minorEastAsia"/>
          <w:bCs/>
          <w:color w:val="auto"/>
          <w:sz w:val="21"/>
          <w:szCs w:val="21"/>
          <w:highlight w:val="none"/>
        </w:rPr>
        <w:t>（三）培训时长要求。服务期内中标人须针对拟投入项目人员定期开展培训，保证培训时长每年不少于24小时。项目实施期间，中标人因不可控因素导致无法开展线下培训的，经采购人同意后可调整授课形式。</w:t>
      </w:r>
    </w:p>
    <w:p w14:paraId="218B3809">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eastAsiaTheme="minorEastAsia"/>
          <w:bCs/>
          <w:color w:val="auto"/>
          <w:sz w:val="21"/>
          <w:szCs w:val="21"/>
          <w:highlight w:val="none"/>
        </w:rPr>
      </w:pPr>
      <w:r>
        <w:rPr>
          <w:rFonts w:hint="eastAsia" w:eastAsiaTheme="minorEastAsia"/>
          <w:bCs/>
          <w:color w:val="auto"/>
          <w:sz w:val="21"/>
          <w:szCs w:val="21"/>
          <w:highlight w:val="none"/>
        </w:rPr>
        <w:t>（四）课程及讲师要求。培训课程内容主要为婚姻家庭辅导知识、管理知识以及社会工作实务所需的其它专业知识；须根据课程设计组织符合资质的人担任授课讲师，可包括高校社会工作专业教师、具备丰富社会服务经验的资深社会服务人士或其它相关专业人员。</w:t>
      </w:r>
    </w:p>
    <w:p w14:paraId="7F7B78DA">
      <w:pPr>
        <w:keepNext w:val="0"/>
        <w:keepLines w:val="0"/>
        <w:pageBreakBefore w:val="0"/>
        <w:widowControl/>
        <w:kinsoku/>
        <w:wordWrap/>
        <w:overflowPunct/>
        <w:topLinePunct w:val="0"/>
        <w:autoSpaceDE/>
        <w:autoSpaceDN/>
        <w:bidi w:val="0"/>
        <w:adjustRightInd w:val="0"/>
        <w:snapToGrid w:val="0"/>
        <w:spacing w:after="0" w:line="360" w:lineRule="exact"/>
        <w:ind w:firstLine="422" w:firstLineChars="200"/>
        <w:textAlignment w:val="auto"/>
        <w:rPr>
          <w:rFonts w:eastAsiaTheme="minorEastAsia"/>
          <w:b/>
          <w:color w:val="auto"/>
          <w:sz w:val="21"/>
          <w:szCs w:val="21"/>
          <w:highlight w:val="none"/>
        </w:rPr>
      </w:pPr>
      <w:r>
        <w:rPr>
          <w:rFonts w:hint="eastAsia" w:eastAsiaTheme="minorEastAsia"/>
          <w:b/>
          <w:color w:val="auto"/>
          <w:sz w:val="21"/>
          <w:szCs w:val="21"/>
          <w:highlight w:val="none"/>
          <w:lang w:eastAsia="zh-CN"/>
        </w:rPr>
        <w:t>四、</w:t>
      </w:r>
      <w:r>
        <w:rPr>
          <w:rFonts w:hint="eastAsia" w:eastAsiaTheme="minorEastAsia"/>
          <w:b/>
          <w:color w:val="auto"/>
          <w:sz w:val="21"/>
          <w:szCs w:val="21"/>
          <w:highlight w:val="none"/>
        </w:rPr>
        <w:t>质量保证服务要求</w:t>
      </w:r>
    </w:p>
    <w:p w14:paraId="2C36DB9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eastAsiaTheme="minorEastAsia"/>
          <w:bCs/>
          <w:color w:val="auto"/>
          <w:sz w:val="21"/>
          <w:szCs w:val="21"/>
          <w:highlight w:val="none"/>
        </w:rPr>
      </w:pPr>
      <w:r>
        <w:rPr>
          <w:rFonts w:hint="eastAsia" w:eastAsiaTheme="minorEastAsia"/>
          <w:bCs/>
          <w:color w:val="auto"/>
          <w:sz w:val="21"/>
          <w:szCs w:val="21"/>
          <w:highlight w:val="none"/>
        </w:rPr>
        <w:t>（一）中标人应建立全面的质量保证体系，明确各环节的质量标准和要求，确保整个项目服务过程的顺利进行。</w:t>
      </w:r>
    </w:p>
    <w:p w14:paraId="6E85B8A2">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eastAsiaTheme="minorEastAsia"/>
          <w:bCs/>
          <w:color w:val="auto"/>
          <w:sz w:val="21"/>
          <w:szCs w:val="21"/>
          <w:highlight w:val="none"/>
        </w:rPr>
      </w:pPr>
      <w:r>
        <w:rPr>
          <w:rFonts w:hint="eastAsia" w:eastAsiaTheme="minorEastAsia"/>
          <w:bCs/>
          <w:color w:val="auto"/>
          <w:sz w:val="21"/>
          <w:szCs w:val="21"/>
          <w:highlight w:val="none"/>
        </w:rPr>
        <w:t>（二）中标人应制定详细的质量检查表，对每个环节进行定期检查和评估，及时发现并解决问题，确保服务质量符合预定标准。</w:t>
      </w:r>
    </w:p>
    <w:p w14:paraId="5C939CE1">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eastAsiaTheme="minorEastAsia"/>
          <w:bCs/>
          <w:color w:val="auto"/>
          <w:sz w:val="21"/>
          <w:szCs w:val="21"/>
          <w:highlight w:val="none"/>
        </w:rPr>
      </w:pPr>
      <w:r>
        <w:rPr>
          <w:rFonts w:hint="eastAsia" w:eastAsiaTheme="minorEastAsia"/>
          <w:bCs/>
          <w:color w:val="auto"/>
          <w:sz w:val="21"/>
          <w:szCs w:val="21"/>
          <w:highlight w:val="none"/>
        </w:rPr>
        <w:t>（三）在服务过程中，如出现质量问题或收到投诉，中标人应迅速响应并及时处理，以保障服务对象的合法权益。</w:t>
      </w:r>
    </w:p>
    <w:p w14:paraId="1E26BFFD">
      <w:pPr>
        <w:keepNext w:val="0"/>
        <w:keepLines w:val="0"/>
        <w:pageBreakBefore w:val="0"/>
        <w:widowControl/>
        <w:kinsoku/>
        <w:wordWrap/>
        <w:overflowPunct/>
        <w:topLinePunct w:val="0"/>
        <w:autoSpaceDE/>
        <w:autoSpaceDN/>
        <w:bidi w:val="0"/>
        <w:adjustRightInd w:val="0"/>
        <w:snapToGrid w:val="0"/>
        <w:spacing w:after="0" w:line="360" w:lineRule="exact"/>
        <w:ind w:firstLine="422" w:firstLineChars="200"/>
        <w:textAlignment w:val="auto"/>
        <w:rPr>
          <w:rFonts w:eastAsiaTheme="minorEastAsia"/>
          <w:b/>
          <w:color w:val="auto"/>
          <w:sz w:val="21"/>
          <w:szCs w:val="21"/>
          <w:highlight w:val="none"/>
        </w:rPr>
      </w:pPr>
      <w:r>
        <w:rPr>
          <w:rFonts w:hint="eastAsia" w:eastAsiaTheme="minorEastAsia"/>
          <w:b/>
          <w:color w:val="auto"/>
          <w:sz w:val="21"/>
          <w:szCs w:val="21"/>
          <w:highlight w:val="none"/>
          <w:lang w:eastAsia="zh-CN"/>
        </w:rPr>
        <w:t>五、</w:t>
      </w:r>
      <w:r>
        <w:rPr>
          <w:rFonts w:hint="eastAsia" w:eastAsiaTheme="minorEastAsia"/>
          <w:b/>
          <w:color w:val="auto"/>
          <w:sz w:val="21"/>
          <w:szCs w:val="21"/>
          <w:highlight w:val="none"/>
        </w:rPr>
        <w:t>组织架构要求</w:t>
      </w:r>
    </w:p>
    <w:p w14:paraId="39A1FD1C">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eastAsiaTheme="minorEastAsia"/>
          <w:bCs/>
          <w:color w:val="auto"/>
          <w:sz w:val="21"/>
          <w:szCs w:val="21"/>
          <w:highlight w:val="none"/>
        </w:rPr>
      </w:pPr>
      <w:r>
        <w:rPr>
          <w:rFonts w:eastAsiaTheme="minorEastAsia"/>
          <w:bCs/>
          <w:color w:val="auto"/>
          <w:sz w:val="21"/>
          <w:szCs w:val="21"/>
          <w:highlight w:val="none"/>
        </w:rPr>
        <w:t>（一）中标人应具备完善的组织管理架构及岗位职责。</w:t>
      </w:r>
    </w:p>
    <w:p w14:paraId="53ACD44C">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eastAsiaTheme="minorEastAsia"/>
          <w:bCs/>
          <w:color w:val="auto"/>
          <w:sz w:val="21"/>
          <w:szCs w:val="21"/>
          <w:highlight w:val="none"/>
        </w:rPr>
      </w:pPr>
      <w:r>
        <w:rPr>
          <w:rFonts w:eastAsiaTheme="minorEastAsia"/>
          <w:bCs/>
          <w:color w:val="auto"/>
          <w:sz w:val="21"/>
          <w:szCs w:val="21"/>
          <w:highlight w:val="none"/>
        </w:rPr>
        <w:t>（二）中标人应具备有利于本项目实施的管理服务理念与管理模式。</w:t>
      </w:r>
    </w:p>
    <w:p w14:paraId="15D829A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color w:val="auto"/>
          <w:sz w:val="21"/>
          <w:szCs w:val="21"/>
          <w:highlight w:val="none"/>
        </w:rPr>
      </w:pPr>
      <w:r>
        <w:rPr>
          <w:rFonts w:eastAsiaTheme="minorEastAsia"/>
          <w:bCs/>
          <w:color w:val="auto"/>
          <w:sz w:val="21"/>
          <w:szCs w:val="21"/>
          <w:highlight w:val="none"/>
        </w:rPr>
        <w:t>（</w:t>
      </w:r>
      <w:r>
        <w:rPr>
          <w:rFonts w:hint="eastAsia" w:eastAsiaTheme="minorEastAsia"/>
          <w:bCs/>
          <w:color w:val="auto"/>
          <w:sz w:val="21"/>
          <w:szCs w:val="21"/>
          <w:highlight w:val="none"/>
        </w:rPr>
        <w:t>三</w:t>
      </w:r>
      <w:r>
        <w:rPr>
          <w:rFonts w:eastAsiaTheme="minorEastAsia"/>
          <w:bCs/>
          <w:color w:val="auto"/>
          <w:sz w:val="21"/>
          <w:szCs w:val="21"/>
          <w:highlight w:val="none"/>
        </w:rPr>
        <w:t>）中标人应建立完善的</w:t>
      </w:r>
      <w:r>
        <w:rPr>
          <w:rFonts w:hint="eastAsia" w:eastAsiaTheme="minorEastAsia"/>
          <w:bCs/>
          <w:color w:val="auto"/>
          <w:sz w:val="21"/>
          <w:szCs w:val="21"/>
          <w:highlight w:val="none"/>
        </w:rPr>
        <w:t>员工</w:t>
      </w:r>
      <w:r>
        <w:rPr>
          <w:rFonts w:eastAsiaTheme="minorEastAsia"/>
          <w:bCs/>
          <w:color w:val="auto"/>
          <w:sz w:val="21"/>
          <w:szCs w:val="21"/>
          <w:highlight w:val="none"/>
        </w:rPr>
        <w:t>选拔和培训机制，确保</w:t>
      </w:r>
      <w:r>
        <w:rPr>
          <w:rFonts w:hint="eastAsia" w:eastAsiaTheme="minorEastAsia"/>
          <w:bCs/>
          <w:color w:val="auto"/>
          <w:sz w:val="21"/>
          <w:szCs w:val="21"/>
          <w:highlight w:val="none"/>
        </w:rPr>
        <w:t>服务人员</w:t>
      </w:r>
      <w:r>
        <w:rPr>
          <w:rFonts w:eastAsiaTheme="minorEastAsia"/>
          <w:bCs/>
          <w:color w:val="auto"/>
          <w:sz w:val="21"/>
          <w:szCs w:val="21"/>
          <w:highlight w:val="none"/>
        </w:rPr>
        <w:t>具备专业技能和良好的职业素养。</w:t>
      </w:r>
    </w:p>
    <w:bookmarkEnd w:id="10"/>
    <w:p w14:paraId="65A68F1B">
      <w:pPr>
        <w:keepNext w:val="0"/>
        <w:keepLines w:val="0"/>
        <w:pageBreakBefore w:val="0"/>
        <w:kinsoku/>
        <w:wordWrap/>
        <w:overflowPunct/>
        <w:topLinePunct w:val="0"/>
        <w:autoSpaceDE/>
        <w:autoSpaceDN/>
        <w:bidi w:val="0"/>
        <w:spacing w:after="0" w:line="360" w:lineRule="exact"/>
        <w:textAlignment w:val="auto"/>
        <w:rPr>
          <w:rFonts w:hint="eastAsia" w:ascii="宋体" w:hAnsi="宋体" w:eastAsia="宋体" w:cs="Times New Roman"/>
          <w:b/>
          <w:bCs/>
          <w:color w:val="auto"/>
          <w:sz w:val="21"/>
          <w:szCs w:val="21"/>
          <w:highlight w:val="none"/>
        </w:rPr>
      </w:pPr>
    </w:p>
    <w:p w14:paraId="79DCF1FB">
      <w:pPr>
        <w:keepNext w:val="0"/>
        <w:keepLines w:val="0"/>
        <w:pageBreakBefore w:val="0"/>
        <w:kinsoku/>
        <w:wordWrap/>
        <w:overflowPunct/>
        <w:topLinePunct w:val="0"/>
        <w:autoSpaceDE/>
        <w:autoSpaceDN/>
        <w:bidi w:val="0"/>
        <w:spacing w:after="0" w:line="360" w:lineRule="exact"/>
        <w:ind w:firstLine="422" w:firstLineChars="200"/>
        <w:textAlignment w:val="auto"/>
        <w:rPr>
          <w:color w:val="auto"/>
          <w:sz w:val="24"/>
          <w:szCs w:val="24"/>
          <w:highlight w:val="none"/>
        </w:rPr>
      </w:pPr>
      <w:r>
        <w:rPr>
          <w:rFonts w:hint="eastAsia" w:ascii="宋体" w:hAnsi="宋体" w:eastAsia="宋体" w:cs="Times New Roman"/>
          <w:b/>
          <w:bCs/>
          <w:color w:val="auto"/>
          <w:sz w:val="21"/>
          <w:szCs w:val="21"/>
          <w:highlight w:val="none"/>
        </w:rPr>
        <w:t>注：不满足招标文件中 “★”条款的投标文件将作无效投标处理。</w:t>
      </w:r>
      <w:bookmarkEnd w:id="6"/>
      <w:bookmarkEnd w:id="7"/>
      <w:bookmarkEnd w:id="8"/>
      <w:bookmarkEnd w:id="9"/>
      <w:r>
        <w:rPr>
          <w:rFonts w:hint="eastAsia"/>
          <w:color w:val="auto"/>
          <w:sz w:val="24"/>
          <w:szCs w:val="24"/>
          <w:highlight w:val="none"/>
        </w:rPr>
        <w:br w:type="page"/>
      </w:r>
      <w:bookmarkStart w:id="11" w:name="_Toc27370"/>
      <w:r>
        <w:rPr>
          <w:rFonts w:hint="eastAsia"/>
          <w:color w:val="auto"/>
          <w:sz w:val="28"/>
          <w:szCs w:val="28"/>
          <w:highlight w:val="none"/>
        </w:rPr>
        <w:t>第四部分 投标人须知</w:t>
      </w:r>
      <w:bookmarkEnd w:id="11"/>
    </w:p>
    <w:p w14:paraId="2B3A2D8D">
      <w:pPr>
        <w:pStyle w:val="4"/>
        <w:keepNext/>
        <w:keepLines/>
        <w:pageBreakBefore w:val="0"/>
        <w:widowControl/>
        <w:numPr>
          <w:ilvl w:val="0"/>
          <w:numId w:val="2"/>
        </w:numPr>
        <w:kinsoku/>
        <w:wordWrap/>
        <w:overflowPunct/>
        <w:topLinePunct w:val="0"/>
        <w:autoSpaceDE/>
        <w:autoSpaceDN/>
        <w:bidi w:val="0"/>
        <w:adjustRightInd w:val="0"/>
        <w:snapToGrid w:val="0"/>
        <w:spacing w:before="0" w:after="0" w:line="360" w:lineRule="auto"/>
        <w:ind w:left="0" w:firstLine="0"/>
        <w:jc w:val="center"/>
        <w:textAlignment w:val="auto"/>
        <w:rPr>
          <w:rFonts w:ascii="宋体" w:hAnsi="宋体" w:eastAsia="宋体"/>
          <w:color w:val="auto"/>
          <w:highlight w:val="none"/>
        </w:rPr>
      </w:pPr>
      <w:bookmarkStart w:id="12" w:name="_Toc8045"/>
      <w:r>
        <w:rPr>
          <w:rFonts w:hint="eastAsia" w:ascii="宋体" w:hAnsi="宋体" w:eastAsia="宋体"/>
          <w:color w:val="auto"/>
          <w:highlight w:val="none"/>
        </w:rPr>
        <w:t>说明</w:t>
      </w:r>
      <w:bookmarkEnd w:id="12"/>
    </w:p>
    <w:p w14:paraId="35DE0BAB">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13" w:name="_Toc2381"/>
      <w:r>
        <w:rPr>
          <w:rFonts w:hint="eastAsia" w:ascii="宋体" w:hAnsi="宋体" w:eastAsia="宋体"/>
          <w:color w:val="auto"/>
          <w:sz w:val="21"/>
          <w:szCs w:val="21"/>
          <w:highlight w:val="none"/>
        </w:rPr>
        <w:t>1.适用范围</w:t>
      </w:r>
      <w:bookmarkEnd w:id="13"/>
    </w:p>
    <w:p w14:paraId="699BFBE1">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1.1.</w:t>
      </w:r>
      <w:r>
        <w:rPr>
          <w:rFonts w:hint="eastAsia" w:ascii="宋体" w:hAnsi="宋体" w:eastAsia="宋体"/>
          <w:color w:val="auto"/>
          <w:sz w:val="21"/>
          <w:szCs w:val="21"/>
          <w:highlight w:val="none"/>
        </w:rPr>
        <w:t>招标范围：见本文件《用户需求书》</w:t>
      </w:r>
    </w:p>
    <w:p w14:paraId="21CC2515">
      <w:pPr>
        <w:pageBreakBefore w:val="0"/>
        <w:kinsoku/>
        <w:wordWrap/>
        <w:topLinePunct w:val="0"/>
        <w:autoSpaceDE/>
        <w:autoSpaceDN/>
        <w:bidi w:val="0"/>
        <w:spacing w:line="400" w:lineRule="exact"/>
        <w:textAlignment w:val="auto"/>
        <w:rPr>
          <w:color w:val="auto"/>
          <w:highlight w:val="none"/>
        </w:rPr>
      </w:pPr>
    </w:p>
    <w:p w14:paraId="47C52AA0">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14" w:name="_Toc15203"/>
      <w:r>
        <w:rPr>
          <w:rFonts w:hint="eastAsia" w:ascii="宋体" w:hAnsi="宋体" w:eastAsia="宋体"/>
          <w:color w:val="auto"/>
          <w:sz w:val="21"/>
          <w:szCs w:val="21"/>
          <w:highlight w:val="none"/>
        </w:rPr>
        <w:t>2.</w:t>
      </w:r>
      <w:bookmarkStart w:id="15" w:name="_Toc382049092"/>
      <w:bookmarkStart w:id="16" w:name="_Toc298847174"/>
      <w:bookmarkStart w:id="17" w:name="_Toc1530"/>
      <w:bookmarkStart w:id="18" w:name="_Toc303084246"/>
      <w:r>
        <w:rPr>
          <w:rFonts w:hint="eastAsia" w:ascii="宋体" w:hAnsi="宋体" w:eastAsia="宋体"/>
          <w:color w:val="auto"/>
          <w:sz w:val="21"/>
          <w:szCs w:val="21"/>
          <w:highlight w:val="none"/>
        </w:rPr>
        <w:t>定义</w:t>
      </w:r>
      <w:bookmarkEnd w:id="14"/>
      <w:bookmarkEnd w:id="15"/>
      <w:bookmarkEnd w:id="16"/>
      <w:bookmarkEnd w:id="17"/>
      <w:bookmarkEnd w:id="18"/>
    </w:p>
    <w:p w14:paraId="0EB061B6">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2.1.</w:t>
      </w: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是指依法进行政府采购的国家机关、事业单位</w:t>
      </w:r>
      <w:r>
        <w:rPr>
          <w:rFonts w:hint="eastAsia" w:ascii="宋体" w:hAnsi="宋体" w:eastAsia="宋体"/>
          <w:color w:val="auto"/>
          <w:sz w:val="21"/>
          <w:szCs w:val="21"/>
          <w:highlight w:val="none"/>
        </w:rPr>
        <w:t>等</w:t>
      </w:r>
      <w:r>
        <w:rPr>
          <w:rFonts w:ascii="宋体" w:hAnsi="宋体" w:eastAsia="宋体"/>
          <w:color w:val="auto"/>
          <w:sz w:val="21"/>
          <w:szCs w:val="21"/>
          <w:highlight w:val="none"/>
        </w:rPr>
        <w:t>团体组织</w:t>
      </w:r>
      <w:r>
        <w:rPr>
          <w:rFonts w:hint="eastAsia" w:ascii="宋体" w:hAnsi="宋体" w:eastAsia="宋体"/>
          <w:color w:val="auto"/>
          <w:sz w:val="21"/>
          <w:szCs w:val="21"/>
          <w:highlight w:val="none"/>
        </w:rPr>
        <w:t>。</w:t>
      </w:r>
    </w:p>
    <w:p w14:paraId="5ED4356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2.2.</w:t>
      </w:r>
      <w:r>
        <w:rPr>
          <w:rFonts w:hint="eastAsia" w:ascii="宋体" w:hAnsi="宋体" w:eastAsia="宋体"/>
          <w:color w:val="auto"/>
          <w:sz w:val="21"/>
          <w:szCs w:val="21"/>
          <w:highlight w:val="none"/>
        </w:rPr>
        <w:t>投标人：响应招标并且符合招标文件规定资格条件和参加投标竞争的法人、其他组织或者自然人。</w:t>
      </w:r>
    </w:p>
    <w:p w14:paraId="6FF2EDA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2.3.</w:t>
      </w:r>
      <w:r>
        <w:rPr>
          <w:rFonts w:hint="eastAsia" w:ascii="宋体" w:hAnsi="宋体" w:eastAsia="宋体"/>
          <w:color w:val="auto"/>
          <w:sz w:val="21"/>
          <w:szCs w:val="21"/>
          <w:highlight w:val="none"/>
        </w:rPr>
        <w:t>法人：法人是依法在国内进行注册并具有民事权利能力和民事行为能力，依法独立享有民事权利和承担民事义务的组织。</w:t>
      </w:r>
    </w:p>
    <w:p w14:paraId="615576B6">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2.4.</w:t>
      </w:r>
      <w:r>
        <w:rPr>
          <w:rFonts w:hint="eastAsia" w:ascii="宋体" w:hAnsi="宋体" w:eastAsia="宋体"/>
          <w:color w:val="auto"/>
          <w:sz w:val="21"/>
          <w:szCs w:val="21"/>
          <w:highlight w:val="none"/>
        </w:rPr>
        <w:t>中标人：指经评标委员会评审推荐、采购人确认的获得本项目中标资格的投标人。</w:t>
      </w:r>
    </w:p>
    <w:p w14:paraId="5F91103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2.5.</w:t>
      </w:r>
      <w:r>
        <w:rPr>
          <w:rFonts w:hint="eastAsia" w:ascii="宋体" w:hAnsi="宋体" w:eastAsia="宋体"/>
          <w:color w:val="auto"/>
          <w:sz w:val="21"/>
          <w:szCs w:val="21"/>
          <w:highlight w:val="none"/>
        </w:rPr>
        <w:t>采购代理机构：三方诚信招标有限公司东莞分公司。</w:t>
      </w:r>
    </w:p>
    <w:p w14:paraId="71BA0550">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w:t>
      </w:r>
      <w:r>
        <w:rPr>
          <w:rFonts w:hint="eastAsia" w:ascii="宋体" w:hAnsi="宋体" w:eastAsia="宋体"/>
          <w:color w:val="auto"/>
          <w:sz w:val="21"/>
          <w:szCs w:val="21"/>
          <w:highlight w:val="none"/>
        </w:rPr>
        <w:t>评标委员会：评标委员会是依据《中华人民共和国政府采购法》及其实施条例、《政府采购货物和服务招标投标管理办法》等组建的专门负责本次招标其评标工作的临时性机构。</w:t>
      </w:r>
    </w:p>
    <w:p w14:paraId="68737576">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2.7.</w:t>
      </w:r>
      <w:r>
        <w:rPr>
          <w:rFonts w:hint="eastAsia" w:ascii="宋体" w:hAnsi="宋体" w:eastAsia="宋体"/>
          <w:color w:val="auto"/>
          <w:sz w:val="21"/>
          <w:szCs w:val="21"/>
          <w:highlight w:val="none"/>
        </w:rPr>
        <w:t>合同：指由本次招标所产生的合同或合约文件。</w:t>
      </w:r>
    </w:p>
    <w:p w14:paraId="42CF8B2A">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2.8.</w:t>
      </w:r>
      <w:r>
        <w:rPr>
          <w:rFonts w:hint="eastAsia" w:ascii="宋体" w:hAnsi="宋体" w:eastAsia="宋体"/>
          <w:color w:val="auto"/>
          <w:sz w:val="21"/>
          <w:szCs w:val="21"/>
          <w:highlight w:val="none"/>
        </w:rPr>
        <w:t>公章：</w:t>
      </w:r>
      <w:r>
        <w:rPr>
          <w:rFonts w:ascii="宋体" w:hAnsi="宋体" w:eastAsia="宋体"/>
          <w:color w:val="auto"/>
          <w:sz w:val="21"/>
          <w:szCs w:val="21"/>
          <w:highlight w:val="none"/>
        </w:rPr>
        <w:t>公章是</w:t>
      </w:r>
      <w:r>
        <w:rPr>
          <w:rFonts w:ascii="宋体" w:hAnsi="宋体" w:eastAsia="宋体"/>
          <w:iCs/>
          <w:color w:val="auto"/>
          <w:sz w:val="21"/>
          <w:szCs w:val="21"/>
          <w:highlight w:val="none"/>
        </w:rPr>
        <w:t>指</w:t>
      </w:r>
      <w:r>
        <w:rPr>
          <w:rFonts w:hint="eastAsia" w:ascii="宋体" w:hAnsi="宋体" w:eastAsia="宋体"/>
          <w:iCs/>
          <w:color w:val="auto"/>
          <w:sz w:val="21"/>
          <w:szCs w:val="21"/>
          <w:highlight w:val="none"/>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eastAsia="宋体"/>
          <w:color w:val="auto"/>
          <w:sz w:val="21"/>
          <w:szCs w:val="21"/>
          <w:highlight w:val="none"/>
        </w:rPr>
        <w:t>）</w:t>
      </w:r>
    </w:p>
    <w:p w14:paraId="71796911">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2.9.</w:t>
      </w:r>
      <w:r>
        <w:rPr>
          <w:rFonts w:hint="eastAsia" w:ascii="宋体" w:hAnsi="宋体" w:eastAsia="宋体"/>
          <w:color w:val="auto"/>
          <w:sz w:val="21"/>
          <w:szCs w:val="21"/>
          <w:highlight w:val="none"/>
        </w:rPr>
        <w:t>时间</w:t>
      </w:r>
      <w:r>
        <w:rPr>
          <w:rFonts w:hint="eastAsia" w:ascii="宋体" w:hAnsi="宋体" w:eastAsia="宋体"/>
          <w:iCs/>
          <w:color w:val="auto"/>
          <w:sz w:val="21"/>
          <w:szCs w:val="21"/>
          <w:highlight w:val="none"/>
        </w:rPr>
        <w:t>：本文件规定按日计算期间的，开始当天不计入，从次日开始计算。期限的最后一日是国家法定节假日的，顺延到节假日后的次日为期限的最后一日。</w:t>
      </w:r>
    </w:p>
    <w:p w14:paraId="15BA4075">
      <w:pPr>
        <w:pageBreakBefore w:val="0"/>
        <w:kinsoku/>
        <w:wordWrap/>
        <w:topLinePunct w:val="0"/>
        <w:autoSpaceDE/>
        <w:autoSpaceDN/>
        <w:bidi w:val="0"/>
        <w:spacing w:line="400" w:lineRule="exact"/>
        <w:textAlignment w:val="auto"/>
        <w:rPr>
          <w:color w:val="auto"/>
          <w:highlight w:val="none"/>
        </w:rPr>
      </w:pPr>
    </w:p>
    <w:p w14:paraId="34E50688">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19" w:name="_Toc1072"/>
      <w:r>
        <w:rPr>
          <w:rFonts w:hint="eastAsia" w:ascii="宋体" w:hAnsi="宋体" w:eastAsia="宋体"/>
          <w:color w:val="auto"/>
          <w:sz w:val="21"/>
          <w:szCs w:val="21"/>
          <w:highlight w:val="none"/>
        </w:rPr>
        <w:t>3.货物和服务</w:t>
      </w:r>
      <w:bookmarkEnd w:id="19"/>
    </w:p>
    <w:p w14:paraId="10E409FA">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iCs/>
          <w:color w:val="auto"/>
          <w:sz w:val="21"/>
          <w:szCs w:val="21"/>
          <w:highlight w:val="none"/>
        </w:rPr>
      </w:pPr>
      <w:r>
        <w:rPr>
          <w:rFonts w:hint="eastAsia" w:ascii="宋体" w:hAnsi="宋体" w:eastAsia="宋体" w:cstheme="minorBidi"/>
          <w:iCs/>
          <w:color w:val="auto"/>
          <w:sz w:val="21"/>
          <w:szCs w:val="21"/>
          <w:highlight w:val="none"/>
          <w:lang w:val="en-US" w:eastAsia="zh-CN" w:bidi="ar-SA"/>
        </w:rPr>
        <w:t>3.1.</w:t>
      </w:r>
      <w:r>
        <w:rPr>
          <w:rFonts w:hint="eastAsia" w:ascii="宋体" w:hAnsi="宋体" w:eastAsia="宋体"/>
          <w:iCs/>
          <w:color w:val="auto"/>
          <w:sz w:val="21"/>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14:paraId="3D4AFA75">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iCs/>
          <w:color w:val="auto"/>
          <w:sz w:val="21"/>
          <w:szCs w:val="21"/>
          <w:highlight w:val="none"/>
        </w:rPr>
      </w:pPr>
      <w:r>
        <w:rPr>
          <w:rFonts w:hint="eastAsia" w:ascii="宋体" w:hAnsi="宋体" w:eastAsia="宋体" w:cstheme="minorBidi"/>
          <w:iCs/>
          <w:color w:val="auto"/>
          <w:sz w:val="21"/>
          <w:szCs w:val="21"/>
          <w:highlight w:val="none"/>
          <w:lang w:val="en-US" w:eastAsia="zh-CN" w:bidi="ar-SA"/>
        </w:rPr>
        <w:t>3.2.</w:t>
      </w:r>
      <w:r>
        <w:rPr>
          <w:rFonts w:hint="eastAsia" w:ascii="宋体" w:hAnsi="宋体" w:eastAsia="宋体"/>
          <w:iCs/>
          <w:color w:val="auto"/>
          <w:sz w:val="21"/>
          <w:szCs w:val="21"/>
          <w:highlight w:val="none"/>
        </w:rPr>
        <w:t>服务是指除货物和工程以外的其他政府采购对象，且满足实质性采购需求。</w:t>
      </w:r>
    </w:p>
    <w:p w14:paraId="4E6B27A1">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iCs/>
          <w:color w:val="auto"/>
          <w:sz w:val="21"/>
          <w:szCs w:val="21"/>
          <w:highlight w:val="none"/>
        </w:rPr>
      </w:pPr>
      <w:r>
        <w:rPr>
          <w:rFonts w:hint="eastAsia" w:ascii="宋体" w:hAnsi="宋体" w:eastAsia="宋体" w:cstheme="minorBidi"/>
          <w:iCs/>
          <w:color w:val="auto"/>
          <w:sz w:val="21"/>
          <w:szCs w:val="21"/>
          <w:highlight w:val="none"/>
          <w:lang w:val="en-US" w:eastAsia="zh-CN" w:bidi="ar-SA"/>
        </w:rPr>
        <w:t>3.3.</w:t>
      </w:r>
      <w:r>
        <w:rPr>
          <w:rFonts w:hint="eastAsia" w:ascii="宋体" w:hAnsi="宋体" w:eastAsia="宋体"/>
          <w:iCs/>
          <w:color w:val="auto"/>
          <w:sz w:val="21"/>
          <w:szCs w:val="21"/>
          <w:highlight w:val="none"/>
        </w:rPr>
        <w:t>政府采购应当采购本国产品，确需采购进口产品（是指通过中国海关报关验放进入中国境内且产自关境外的产品）的，</w:t>
      </w:r>
      <w:bookmarkStart w:id="20" w:name="_Toc211763038"/>
      <w:r>
        <w:rPr>
          <w:rFonts w:hint="eastAsia" w:ascii="宋体" w:hAnsi="宋体" w:eastAsia="宋体"/>
          <w:iCs/>
          <w:color w:val="auto"/>
          <w:sz w:val="21"/>
          <w:szCs w:val="21"/>
          <w:highlight w:val="none"/>
        </w:rPr>
        <w:t>应当获得财政部门核准。依据《政府采购进口产品管理办法</w:t>
      </w:r>
      <w:bookmarkEnd w:id="20"/>
      <w:r>
        <w:rPr>
          <w:rFonts w:hint="eastAsia" w:ascii="宋体" w:hAnsi="宋体" w:eastAsia="宋体"/>
          <w:iCs/>
          <w:color w:val="auto"/>
          <w:sz w:val="21"/>
          <w:szCs w:val="21"/>
          <w:highlight w:val="none"/>
        </w:rPr>
        <w:t>》优先采购向我国企业转让技术、与我国企业签订消化吸收再创新方案的供应商的进口产品。</w:t>
      </w:r>
    </w:p>
    <w:p w14:paraId="582953C7">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iCs/>
          <w:color w:val="auto"/>
          <w:sz w:val="21"/>
          <w:szCs w:val="21"/>
          <w:highlight w:val="none"/>
        </w:rPr>
      </w:pPr>
      <w:r>
        <w:rPr>
          <w:rFonts w:hint="eastAsia" w:ascii="宋体" w:hAnsi="宋体" w:eastAsia="宋体" w:cstheme="minorBidi"/>
          <w:iCs/>
          <w:color w:val="auto"/>
          <w:sz w:val="21"/>
          <w:szCs w:val="21"/>
          <w:highlight w:val="none"/>
          <w:lang w:val="en-US" w:eastAsia="zh-CN" w:bidi="ar-SA"/>
        </w:rPr>
        <w:t>3.4.</w:t>
      </w:r>
      <w:r>
        <w:rPr>
          <w:rFonts w:hint="eastAsia" w:ascii="宋体" w:hAnsi="宋体" w:eastAsia="宋体"/>
          <w:iCs/>
          <w:color w:val="auto"/>
          <w:sz w:val="21"/>
          <w:szCs w:val="21"/>
          <w:highlight w:val="none"/>
        </w:rPr>
        <w:t>投标人提供的所有服务，其质量、技术等特征必须符合国家、行业现行法律、法规的相关标准和《中华人民共和国政府采购法》的有关规定及用户需求。</w:t>
      </w:r>
    </w:p>
    <w:p w14:paraId="1694D3E4">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iCs/>
          <w:color w:val="auto"/>
          <w:sz w:val="21"/>
          <w:szCs w:val="21"/>
          <w:highlight w:val="none"/>
        </w:rPr>
      </w:pPr>
      <w:r>
        <w:rPr>
          <w:rFonts w:hint="eastAsia" w:ascii="宋体" w:hAnsi="宋体" w:eastAsia="宋体" w:cstheme="minorBidi"/>
          <w:iCs/>
          <w:color w:val="auto"/>
          <w:sz w:val="21"/>
          <w:szCs w:val="21"/>
          <w:highlight w:val="none"/>
          <w:lang w:val="en-US" w:eastAsia="zh-CN" w:bidi="ar-SA"/>
        </w:rPr>
        <w:t>3.5.</w:t>
      </w:r>
      <w:r>
        <w:rPr>
          <w:rFonts w:hint="eastAsia" w:ascii="宋体" w:hAnsi="宋体" w:eastAsia="宋体"/>
          <w:iCs/>
          <w:color w:val="auto"/>
          <w:sz w:val="21"/>
          <w:szCs w:val="21"/>
          <w:highlight w:val="none"/>
        </w:rPr>
        <w:t>采购人有权拒绝接受任何不合格的服务，由此产生的费用及相关后果均由中标人自行承担；</w:t>
      </w:r>
    </w:p>
    <w:p w14:paraId="78124B4D">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iCs/>
          <w:color w:val="auto"/>
          <w:sz w:val="21"/>
          <w:szCs w:val="21"/>
          <w:highlight w:val="none"/>
        </w:rPr>
      </w:pPr>
      <w:r>
        <w:rPr>
          <w:rFonts w:hint="eastAsia" w:ascii="宋体" w:hAnsi="宋体" w:eastAsia="宋体" w:cstheme="minorBidi"/>
          <w:iCs/>
          <w:color w:val="auto"/>
          <w:sz w:val="21"/>
          <w:szCs w:val="21"/>
          <w:highlight w:val="none"/>
          <w:lang w:val="en-US" w:eastAsia="zh-CN" w:bidi="ar-SA"/>
        </w:rPr>
        <w:t>3.6.</w:t>
      </w:r>
      <w:r>
        <w:rPr>
          <w:rFonts w:hint="eastAsia" w:ascii="宋体" w:hAnsi="宋体" w:eastAsia="宋体"/>
          <w:iCs/>
          <w:color w:val="auto"/>
          <w:sz w:val="21"/>
          <w:szCs w:val="21"/>
          <w:highlight w:val="none"/>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1A433566">
      <w:pPr>
        <w:pageBreakBefore w:val="0"/>
        <w:kinsoku/>
        <w:wordWrap/>
        <w:topLinePunct w:val="0"/>
        <w:autoSpaceDE/>
        <w:autoSpaceDN/>
        <w:bidi w:val="0"/>
        <w:spacing w:line="400" w:lineRule="exact"/>
        <w:textAlignment w:val="auto"/>
        <w:rPr>
          <w:color w:val="auto"/>
          <w:highlight w:val="none"/>
        </w:rPr>
      </w:pPr>
    </w:p>
    <w:p w14:paraId="34A9D9A7">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21" w:name="_Toc16909"/>
      <w:r>
        <w:rPr>
          <w:rFonts w:hint="eastAsia" w:ascii="宋体" w:hAnsi="宋体" w:eastAsia="宋体"/>
          <w:color w:val="auto"/>
          <w:sz w:val="21"/>
          <w:szCs w:val="21"/>
          <w:highlight w:val="none"/>
        </w:rPr>
        <w:t>4.投标费用</w:t>
      </w:r>
      <w:bookmarkEnd w:id="21"/>
    </w:p>
    <w:p w14:paraId="64461EC4">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4.1.</w:t>
      </w:r>
      <w:r>
        <w:rPr>
          <w:rFonts w:hint="eastAsia" w:ascii="宋体" w:hAnsi="宋体" w:eastAsia="宋体"/>
          <w:color w:val="auto"/>
          <w:sz w:val="21"/>
          <w:szCs w:val="21"/>
          <w:highlight w:val="none"/>
        </w:rPr>
        <w:t>投标人应承担所有与编写投标文件和参加投标有关的自身的所有费用，不论投标的结果如何，采购代理机构和采购人在任何情况下均无义务和责任承担这些费用。</w:t>
      </w:r>
    </w:p>
    <w:p w14:paraId="60758A4F">
      <w:pPr>
        <w:pageBreakBefore w:val="0"/>
        <w:widowControl w:val="0"/>
        <w:kinsoku/>
        <w:wordWrap/>
        <w:topLinePunct w:val="0"/>
        <w:autoSpaceDE/>
        <w:autoSpaceDN/>
        <w:bidi w:val="0"/>
        <w:adjustRightInd/>
        <w:snapToGrid/>
        <w:spacing w:after="0" w:line="400" w:lineRule="exact"/>
        <w:jc w:val="both"/>
        <w:textAlignment w:val="auto"/>
        <w:rPr>
          <w:rFonts w:ascii="宋体" w:hAnsi="宋体" w:eastAsia="宋体"/>
          <w:color w:val="auto"/>
          <w:sz w:val="21"/>
          <w:szCs w:val="21"/>
          <w:highlight w:val="none"/>
        </w:rPr>
      </w:pPr>
    </w:p>
    <w:p w14:paraId="379B5F5B">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22" w:name="_Toc24409"/>
      <w:r>
        <w:rPr>
          <w:rFonts w:hint="eastAsia" w:ascii="宋体" w:hAnsi="宋体" w:eastAsia="宋体"/>
          <w:color w:val="auto"/>
          <w:sz w:val="21"/>
          <w:szCs w:val="21"/>
          <w:highlight w:val="none"/>
        </w:rPr>
        <w:t>5.知识产权</w:t>
      </w:r>
      <w:bookmarkEnd w:id="22"/>
    </w:p>
    <w:p w14:paraId="1F3642D7">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5.1.</w:t>
      </w:r>
      <w:r>
        <w:rPr>
          <w:rFonts w:hint="eastAsia" w:ascii="宋体" w:hAnsi="宋体" w:eastAsia="宋体"/>
          <w:color w:val="auto"/>
          <w:sz w:val="21"/>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2EBE9FF8">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5.2.</w:t>
      </w:r>
      <w:r>
        <w:rPr>
          <w:rFonts w:hint="eastAsia" w:ascii="宋体" w:hAnsi="宋体" w:eastAsia="宋体"/>
          <w:color w:val="auto"/>
          <w:sz w:val="21"/>
          <w:szCs w:val="21"/>
          <w:highlight w:val="none"/>
        </w:rPr>
        <w:t>采购人享有本项目实施过程中产生的知识成果及知识产权。</w:t>
      </w:r>
    </w:p>
    <w:p w14:paraId="5736BF6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5.3.</w:t>
      </w:r>
      <w:r>
        <w:rPr>
          <w:rFonts w:hint="eastAsia" w:ascii="宋体" w:hAnsi="宋体" w:eastAsia="宋体"/>
          <w:color w:val="auto"/>
          <w:sz w:val="21"/>
          <w:szCs w:val="21"/>
          <w:highlight w:val="none"/>
        </w:rPr>
        <w:t>投标人如</w:t>
      </w:r>
      <w:r>
        <w:rPr>
          <w:rFonts w:hint="eastAsia" w:ascii="宋体" w:hAnsi="宋体" w:eastAsia="宋体"/>
          <w:color w:val="auto"/>
          <w:sz w:val="21"/>
          <w:szCs w:val="21"/>
          <w:highlight w:val="none"/>
          <w:lang w:eastAsia="zh-CN"/>
        </w:rPr>
        <w:t>欲</w:t>
      </w:r>
      <w:r>
        <w:rPr>
          <w:rFonts w:hint="eastAsia" w:ascii="宋体" w:hAnsi="宋体" w:eastAsia="宋体"/>
          <w:color w:val="auto"/>
          <w:sz w:val="21"/>
          <w:szCs w:val="21"/>
          <w:highlight w:val="none"/>
        </w:rPr>
        <w:t>在项目实施过程中采用自有知识成果，需在投标文件中声明，并提供相关知识产权证明文件。使用该知识成果后，投标人需提供开发接口和开发手册等技术文档。</w:t>
      </w:r>
    </w:p>
    <w:p w14:paraId="48751FA4">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5.4.</w:t>
      </w:r>
      <w:r>
        <w:rPr>
          <w:rFonts w:hint="eastAsia" w:ascii="宋体" w:hAnsi="宋体" w:eastAsia="宋体"/>
          <w:color w:val="auto"/>
          <w:sz w:val="21"/>
          <w:szCs w:val="21"/>
          <w:highlight w:val="none"/>
        </w:rPr>
        <w:t>采购货物为计算机办公设备时，投标人提供的产品必须是预装正版操作系统软件的计算机产品。</w:t>
      </w:r>
    </w:p>
    <w:p w14:paraId="4ECD67CA">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5.5.</w:t>
      </w:r>
      <w:r>
        <w:rPr>
          <w:rFonts w:hint="eastAsia" w:ascii="宋体" w:hAnsi="宋体" w:eastAsia="宋体"/>
          <w:color w:val="auto"/>
          <w:sz w:val="21"/>
          <w:szCs w:val="21"/>
          <w:highlight w:val="none"/>
          <w:lang w:eastAsia="zh-CN"/>
        </w:rPr>
        <w:t>投标人提供的服务、货物经认定存在侵权行为的，其投标无效，并上报相关监管部门。</w:t>
      </w:r>
    </w:p>
    <w:p w14:paraId="72D2BBF4">
      <w:pPr>
        <w:pageBreakBefore w:val="0"/>
        <w:widowControl w:val="0"/>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p>
    <w:p w14:paraId="526EE509">
      <w:pPr>
        <w:pStyle w:val="5"/>
        <w:pageBreakBefore w:val="0"/>
        <w:widowControl w:val="0"/>
        <w:kinsoku/>
        <w:wordWrap/>
        <w:overflowPunct w:val="0"/>
        <w:topLinePunct w:val="0"/>
        <w:autoSpaceDE/>
        <w:autoSpaceDN/>
        <w:bidi w:val="0"/>
        <w:spacing w:before="0" w:after="0" w:line="400" w:lineRule="exact"/>
        <w:textAlignment w:val="auto"/>
        <w:rPr>
          <w:rFonts w:hint="eastAsia" w:ascii="宋体" w:hAnsi="宋体" w:eastAsia="宋体"/>
          <w:color w:val="auto"/>
          <w:sz w:val="21"/>
          <w:szCs w:val="21"/>
          <w:highlight w:val="none"/>
          <w:lang w:eastAsia="zh-CN"/>
        </w:rPr>
      </w:pPr>
      <w:bookmarkStart w:id="23" w:name="_Toc25530"/>
      <w:r>
        <w:rPr>
          <w:rFonts w:hint="eastAsia" w:ascii="宋体" w:hAnsi="宋体" w:eastAsia="宋体"/>
          <w:color w:val="auto"/>
          <w:sz w:val="21"/>
          <w:szCs w:val="21"/>
          <w:highlight w:val="none"/>
        </w:rPr>
        <w:t>6.关于联合体投标</w:t>
      </w:r>
      <w:bookmarkEnd w:id="23"/>
    </w:p>
    <w:p w14:paraId="132348A7">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6.1.</w:t>
      </w:r>
      <w:r>
        <w:rPr>
          <w:rFonts w:hint="eastAsia" w:ascii="宋体" w:hAnsi="宋体" w:eastAsia="宋体" w:cstheme="minorBidi"/>
          <w:b w:val="0"/>
          <w:bCs w:val="0"/>
          <w:color w:val="auto"/>
          <w:sz w:val="21"/>
          <w:szCs w:val="21"/>
          <w:highlight w:val="none"/>
          <w:lang w:val="en-US" w:eastAsia="zh-CN" w:bidi="ar-SA"/>
        </w:rPr>
        <w:t>联合体投标必须满足以下条款。（除非投标邀请函中另有规定不接受联合体投标）</w:t>
      </w:r>
    </w:p>
    <w:p w14:paraId="098B2DE7">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6.2.</w:t>
      </w:r>
      <w:r>
        <w:rPr>
          <w:rFonts w:hint="eastAsia" w:ascii="宋体" w:hAnsi="宋体" w:eastAsia="宋体"/>
          <w:color w:val="auto"/>
          <w:sz w:val="21"/>
          <w:szCs w:val="21"/>
          <w:highlight w:val="none"/>
        </w:rPr>
        <w:t>对接受联合体投标的项目：两个以上的自然人、法人或者其他组织可以组成一个联合体，以一个投标人的身份共同参加政府采购。</w:t>
      </w:r>
    </w:p>
    <w:p w14:paraId="64AEED35">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6.3.</w:t>
      </w:r>
      <w:r>
        <w:rPr>
          <w:rFonts w:hint="eastAsia" w:ascii="宋体" w:hAnsi="宋体" w:eastAsia="宋体"/>
          <w:color w:val="auto"/>
          <w:sz w:val="21"/>
          <w:szCs w:val="21"/>
          <w:highlight w:val="none"/>
        </w:rPr>
        <w:t>以联合体形式参与项目的</w:t>
      </w:r>
      <w:r>
        <w:rPr>
          <w:rFonts w:hint="eastAsia" w:ascii="宋体" w:hAnsi="宋体" w:eastAsia="宋体"/>
          <w:color w:val="auto"/>
          <w:sz w:val="21"/>
          <w:szCs w:val="21"/>
          <w:highlight w:val="none"/>
          <w:lang w:eastAsia="zh-CN"/>
        </w:rPr>
        <w:t>供应商</w:t>
      </w:r>
      <w:r>
        <w:rPr>
          <w:rFonts w:hint="eastAsia" w:ascii="宋体" w:hAnsi="宋体" w:eastAsia="宋体"/>
          <w:color w:val="auto"/>
          <w:sz w:val="21"/>
          <w:szCs w:val="21"/>
          <w:highlight w:val="none"/>
        </w:rPr>
        <w:t>在领购</w:t>
      </w:r>
      <w:r>
        <w:rPr>
          <w:rFonts w:hint="eastAsia" w:ascii="宋体" w:hAnsi="宋体" w:eastAsia="宋体"/>
          <w:color w:val="auto"/>
          <w:sz w:val="21"/>
          <w:szCs w:val="21"/>
          <w:highlight w:val="none"/>
          <w:lang w:val="en-US" w:eastAsia="zh-CN"/>
        </w:rPr>
        <w:t>招标</w:t>
      </w:r>
      <w:r>
        <w:rPr>
          <w:rFonts w:hint="eastAsia" w:ascii="宋体" w:hAnsi="宋体" w:eastAsia="宋体"/>
          <w:color w:val="auto"/>
          <w:sz w:val="21"/>
          <w:szCs w:val="21"/>
          <w:highlight w:val="none"/>
        </w:rPr>
        <w:t>文件时，应提供所有联合体组成成员的营业执照复印件，并加盖各联合体组成成员的公章。</w:t>
      </w:r>
    </w:p>
    <w:p w14:paraId="2739A617">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6.4.</w:t>
      </w:r>
      <w:r>
        <w:rPr>
          <w:rFonts w:hint="eastAsia" w:ascii="宋体" w:hAnsi="宋体" w:eastAsia="宋体"/>
          <w:color w:val="auto"/>
          <w:sz w:val="21"/>
          <w:szCs w:val="21"/>
          <w:highlight w:val="none"/>
        </w:rPr>
        <w:t>联合体各方均应当符合《政府采购法》第二十二条规定的条件。</w:t>
      </w:r>
    </w:p>
    <w:p w14:paraId="4BB682A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6.5.</w:t>
      </w:r>
      <w:r>
        <w:rPr>
          <w:rFonts w:hint="eastAsia" w:ascii="宋体" w:hAnsi="宋体" w:eastAsia="宋体"/>
          <w:color w:val="auto"/>
          <w:sz w:val="21"/>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36DFD2A">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6.6.</w:t>
      </w:r>
      <w:r>
        <w:rPr>
          <w:rFonts w:hint="eastAsia" w:ascii="宋体" w:hAnsi="宋体" w:eastAsia="宋体"/>
          <w:color w:val="auto"/>
          <w:sz w:val="21"/>
          <w:szCs w:val="21"/>
          <w:highlight w:val="none"/>
        </w:rPr>
        <w:t>采购人根据采购项目的特殊要求规定投标人特定条件的，联合体各方中至少应当有一方符合采购人规定的特定条件。</w:t>
      </w:r>
    </w:p>
    <w:p w14:paraId="5B969027">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6.7.</w:t>
      </w:r>
      <w:r>
        <w:rPr>
          <w:rFonts w:hint="eastAsia" w:ascii="宋体" w:hAnsi="宋体" w:eastAsia="宋体"/>
          <w:color w:val="auto"/>
          <w:sz w:val="21"/>
          <w:szCs w:val="21"/>
          <w:highlight w:val="none"/>
        </w:rPr>
        <w:t>联合体各方之间应当签订共同投标协议并</w:t>
      </w:r>
      <w:r>
        <w:rPr>
          <w:rFonts w:ascii="宋体" w:hAnsi="宋体" w:eastAsia="宋体"/>
          <w:color w:val="auto"/>
          <w:sz w:val="21"/>
          <w:szCs w:val="21"/>
          <w:highlight w:val="none"/>
        </w:rPr>
        <w:t>在投标文件内提交</w:t>
      </w:r>
      <w:r>
        <w:rPr>
          <w:rFonts w:hint="eastAsia" w:ascii="宋体" w:hAnsi="宋体" w:eastAsia="宋体"/>
          <w:color w:val="auto"/>
          <w:sz w:val="21"/>
          <w:szCs w:val="21"/>
          <w:highlight w:val="none"/>
        </w:rPr>
        <w:t>，明确约定联合体各方承担的工作和相应的责任。联合体各方签订共同投标协议后，不得再以自己名义单独在同一项目中投标，也不得组成新的联合体参加同一项目投标。</w:t>
      </w:r>
    </w:p>
    <w:p w14:paraId="5C2EA327">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6.8.</w:t>
      </w:r>
      <w:r>
        <w:rPr>
          <w:rFonts w:hint="eastAsia" w:ascii="宋体" w:hAnsi="宋体" w:eastAsia="宋体"/>
          <w:color w:val="auto"/>
          <w:sz w:val="21"/>
          <w:szCs w:val="21"/>
          <w:highlight w:val="none"/>
        </w:rPr>
        <w:t>供应商为联合体的，可以由联合体中的任意一方交纳保证金，其交纳的保证金对联合体各方均具有约束力。</w:t>
      </w:r>
    </w:p>
    <w:p w14:paraId="48EC1D7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6.9.</w:t>
      </w:r>
      <w:r>
        <w:rPr>
          <w:rFonts w:hint="eastAsia" w:ascii="宋体" w:hAnsi="宋体" w:eastAsia="宋体"/>
          <w:color w:val="auto"/>
          <w:sz w:val="21"/>
          <w:szCs w:val="21"/>
          <w:highlight w:val="none"/>
        </w:rPr>
        <w:t>联合体中有同类资质的投标人按照联合体分工承担相同工作的，应当按照资质等级较低的供应商确定资质等级。</w:t>
      </w:r>
    </w:p>
    <w:p w14:paraId="7A274C31">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6.10.</w:t>
      </w:r>
      <w:r>
        <w:rPr>
          <w:rFonts w:hint="eastAsia" w:ascii="宋体" w:hAnsi="宋体" w:eastAsia="宋体"/>
          <w:color w:val="auto"/>
          <w:sz w:val="21"/>
          <w:szCs w:val="21"/>
          <w:highlight w:val="none"/>
          <w:lang w:eastAsia="zh-CN"/>
        </w:rPr>
        <w:t>以</w:t>
      </w:r>
      <w:r>
        <w:rPr>
          <w:rFonts w:hint="eastAsia" w:ascii="宋体" w:hAnsi="宋体" w:eastAsia="宋体"/>
          <w:color w:val="auto"/>
          <w:sz w:val="21"/>
          <w:szCs w:val="21"/>
          <w:highlight w:val="none"/>
        </w:rPr>
        <w:t>联合体形式参加政府采购活动，联合体各方均为中小企业的，联合体视同中小企业。其中，联合体各方均为小微企业的，联合体视同小微企业。</w:t>
      </w:r>
      <w:r>
        <w:rPr>
          <w:rFonts w:hint="eastAsia" w:ascii="宋体" w:hAnsi="宋体" w:eastAsia="宋体"/>
          <w:color w:val="auto"/>
          <w:sz w:val="21"/>
          <w:szCs w:val="21"/>
          <w:highlight w:val="none"/>
          <w:lang w:eastAsia="zh-CN"/>
        </w:rPr>
        <w:t>双方均应提供《中小企业声明函》。</w:t>
      </w:r>
    </w:p>
    <w:p w14:paraId="20ADC9E0">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6.11.</w:t>
      </w:r>
      <w:r>
        <w:rPr>
          <w:rFonts w:hint="eastAsia" w:ascii="宋体" w:hAnsi="宋体" w:eastAsia="宋体"/>
          <w:color w:val="auto"/>
          <w:sz w:val="21"/>
          <w:szCs w:val="21"/>
          <w:highlight w:val="none"/>
        </w:rPr>
        <w:t>除联合体协议明确授权盖章单位外，联合体投标时投标文件中所有要求盖章的地方均须加盖联合体所有组成成员的公章，否则该处盖章无效。</w:t>
      </w:r>
    </w:p>
    <w:p w14:paraId="2E3A6446">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6.12.</w:t>
      </w:r>
      <w:r>
        <w:rPr>
          <w:rFonts w:hint="eastAsia" w:ascii="宋体" w:hAnsi="宋体" w:eastAsia="宋体"/>
          <w:color w:val="auto"/>
          <w:sz w:val="21"/>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573E3E34">
      <w:pPr>
        <w:pageBreakBefore w:val="0"/>
        <w:widowControl w:val="0"/>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p>
    <w:p w14:paraId="1C2BCFA9">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24" w:name="_Toc24312"/>
      <w:r>
        <w:rPr>
          <w:rFonts w:hint="eastAsia" w:ascii="宋体" w:hAnsi="宋体" w:eastAsia="宋体"/>
          <w:color w:val="auto"/>
          <w:sz w:val="21"/>
          <w:szCs w:val="21"/>
          <w:highlight w:val="none"/>
        </w:rPr>
        <w:t>7.关于分支机构投标</w:t>
      </w:r>
      <w:bookmarkEnd w:id="24"/>
    </w:p>
    <w:p w14:paraId="76470DE8">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bookmarkStart w:id="25" w:name="EB389f116341dd4693875bc7987e7327f3"/>
      <w:r>
        <w:rPr>
          <w:rFonts w:hint="eastAsia" w:ascii="宋体" w:hAnsi="宋体" w:eastAsia="宋体" w:cstheme="minorBidi"/>
          <w:color w:val="auto"/>
          <w:sz w:val="21"/>
          <w:szCs w:val="21"/>
          <w:highlight w:val="none"/>
          <w:lang w:val="en-US" w:eastAsia="zh-CN" w:bidi="ar-SA"/>
        </w:rPr>
        <w:t>7.1.</w:t>
      </w:r>
      <w:r>
        <w:rPr>
          <w:rFonts w:hint="eastAsia" w:ascii="宋体" w:hAnsi="宋体" w:eastAsia="宋体"/>
          <w:color w:val="auto"/>
          <w:sz w:val="21"/>
          <w:szCs w:val="21"/>
          <w:highlight w:val="none"/>
        </w:rPr>
        <w:t>分支机构</w:t>
      </w:r>
      <w:r>
        <w:rPr>
          <w:rFonts w:ascii="宋体" w:hAnsi="宋体" w:eastAsia="宋体"/>
          <w:color w:val="auto"/>
          <w:sz w:val="21"/>
          <w:szCs w:val="21"/>
          <w:highlight w:val="none"/>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5"/>
    </w:p>
    <w:p w14:paraId="06999460">
      <w:pPr>
        <w:pageBreakBefore w:val="0"/>
        <w:kinsoku/>
        <w:topLinePunct w:val="0"/>
        <w:autoSpaceDE/>
        <w:autoSpaceDN/>
        <w:bidi w:val="0"/>
        <w:spacing w:line="360" w:lineRule="auto"/>
        <w:rPr>
          <w:color w:val="auto"/>
          <w:highlight w:val="none"/>
        </w:rPr>
      </w:pPr>
    </w:p>
    <w:p w14:paraId="448D1C8B">
      <w:pPr>
        <w:pStyle w:val="4"/>
        <w:keepNext/>
        <w:keepLines/>
        <w:pageBreakBefore w:val="0"/>
        <w:widowControl/>
        <w:numPr>
          <w:ilvl w:val="0"/>
          <w:numId w:val="2"/>
        </w:numPr>
        <w:kinsoku/>
        <w:wordWrap/>
        <w:overflowPunct/>
        <w:topLinePunct w:val="0"/>
        <w:autoSpaceDE/>
        <w:autoSpaceDN/>
        <w:bidi w:val="0"/>
        <w:adjustRightInd w:val="0"/>
        <w:snapToGrid w:val="0"/>
        <w:spacing w:before="0" w:after="0" w:line="360" w:lineRule="auto"/>
        <w:ind w:left="0" w:firstLine="0"/>
        <w:jc w:val="center"/>
        <w:textAlignment w:val="auto"/>
        <w:rPr>
          <w:rFonts w:ascii="宋体" w:hAnsi="宋体" w:eastAsia="宋体"/>
          <w:color w:val="auto"/>
          <w:highlight w:val="none"/>
        </w:rPr>
      </w:pPr>
      <w:bookmarkStart w:id="26" w:name="_Toc15504"/>
      <w:r>
        <w:rPr>
          <w:rFonts w:hint="eastAsia" w:ascii="宋体" w:hAnsi="宋体" w:eastAsia="宋体"/>
          <w:color w:val="auto"/>
          <w:highlight w:val="none"/>
        </w:rPr>
        <w:t>招标文件</w:t>
      </w:r>
      <w:bookmarkEnd w:id="26"/>
    </w:p>
    <w:p w14:paraId="59DE4CC1">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27" w:name="_Toc15490"/>
      <w:r>
        <w:rPr>
          <w:rFonts w:hint="eastAsia" w:ascii="宋体" w:hAnsi="宋体" w:eastAsia="宋体"/>
          <w:color w:val="auto"/>
          <w:sz w:val="21"/>
          <w:szCs w:val="21"/>
          <w:highlight w:val="none"/>
        </w:rPr>
        <w:t>8.招标文件的组成</w:t>
      </w:r>
      <w:bookmarkEnd w:id="27"/>
    </w:p>
    <w:p w14:paraId="26E4BE2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（1）投标邀请书；</w:t>
      </w:r>
    </w:p>
    <w:p w14:paraId="752F815F">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（2）投标资料表；</w:t>
      </w:r>
    </w:p>
    <w:p w14:paraId="6983072F">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（3）用户需求书；</w:t>
      </w:r>
    </w:p>
    <w:p w14:paraId="7E90EFB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（4）投标人须知；</w:t>
      </w:r>
    </w:p>
    <w:p w14:paraId="48C4F5B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（5）合同文本</w:t>
      </w:r>
      <w:r>
        <w:rPr>
          <w:rFonts w:hint="eastAsia" w:ascii="宋体" w:hAnsi="宋体" w:eastAsia="宋体"/>
          <w:color w:val="auto"/>
          <w:sz w:val="21"/>
          <w:szCs w:val="21"/>
          <w:highlight w:val="none"/>
          <w:lang w:eastAsia="zh-CN"/>
        </w:rPr>
        <w:t>参考格式</w:t>
      </w:r>
      <w:r>
        <w:rPr>
          <w:rFonts w:hint="eastAsia" w:ascii="宋体" w:hAnsi="宋体" w:eastAsia="宋体"/>
          <w:color w:val="auto"/>
          <w:sz w:val="21"/>
          <w:szCs w:val="21"/>
          <w:highlight w:val="none"/>
        </w:rPr>
        <w:t>；</w:t>
      </w:r>
    </w:p>
    <w:p w14:paraId="12A78F8F">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（6）投标文件</w:t>
      </w:r>
      <w:r>
        <w:rPr>
          <w:rFonts w:hint="eastAsia" w:ascii="宋体" w:hAnsi="宋体" w:eastAsia="宋体"/>
          <w:color w:val="auto"/>
          <w:sz w:val="21"/>
          <w:szCs w:val="21"/>
          <w:highlight w:val="none"/>
          <w:lang w:eastAsia="zh-CN"/>
        </w:rPr>
        <w:t>参考</w:t>
      </w:r>
      <w:r>
        <w:rPr>
          <w:rFonts w:hint="eastAsia" w:ascii="宋体" w:hAnsi="宋体" w:eastAsia="宋体"/>
          <w:color w:val="auto"/>
          <w:sz w:val="21"/>
          <w:szCs w:val="21"/>
          <w:highlight w:val="none"/>
        </w:rPr>
        <w:t>格式；</w:t>
      </w:r>
    </w:p>
    <w:p w14:paraId="1C564F8F">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（7）在招标过程中由采购代理机构发出的澄清更正文件等。</w:t>
      </w:r>
    </w:p>
    <w:p w14:paraId="637DFF82">
      <w:pPr>
        <w:keepNext w:val="0"/>
        <w:keepLines w:val="0"/>
        <w:pageBreakBefore w:val="0"/>
        <w:widowControl/>
        <w:kinsoku/>
        <w:wordWrap/>
        <w:overflowPunct/>
        <w:topLinePunct w:val="0"/>
        <w:autoSpaceDE/>
        <w:autoSpaceDN/>
        <w:bidi w:val="0"/>
        <w:adjustRightInd w:val="0"/>
        <w:snapToGrid w:val="0"/>
        <w:spacing w:after="0" w:line="400" w:lineRule="exact"/>
        <w:textAlignment w:val="auto"/>
        <w:rPr>
          <w:color w:val="auto"/>
          <w:highlight w:val="none"/>
        </w:rPr>
      </w:pPr>
    </w:p>
    <w:p w14:paraId="322833D8">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28" w:name="_Toc7789"/>
      <w:r>
        <w:rPr>
          <w:rFonts w:hint="eastAsia" w:ascii="宋体" w:hAnsi="宋体" w:eastAsia="宋体"/>
          <w:color w:val="auto"/>
          <w:sz w:val="21"/>
          <w:szCs w:val="21"/>
          <w:highlight w:val="none"/>
        </w:rPr>
        <w:t>9.招标文件的澄清或修改</w:t>
      </w:r>
      <w:bookmarkEnd w:id="28"/>
    </w:p>
    <w:p w14:paraId="46F0D4B1">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9.1.</w:t>
      </w:r>
      <w:r>
        <w:rPr>
          <w:rFonts w:hint="eastAsia" w:ascii="宋体" w:hAnsi="宋体" w:eastAsia="宋体"/>
          <w:color w:val="auto"/>
          <w:sz w:val="21"/>
          <w:szCs w:val="21"/>
          <w:highlight w:val="none"/>
        </w:rPr>
        <w:t>采购人或者采购代理机构可以对已发出的招标文件、资格预审文件、投标邀请书进行必要的澄清或者修改。澄清或者修改的内容为招标文件、资格预审文件、投标邀请书的组成部分，</w:t>
      </w:r>
      <w:r>
        <w:rPr>
          <w:rFonts w:ascii="宋体" w:hAnsi="宋体" w:eastAsia="宋体"/>
          <w:color w:val="auto"/>
          <w:sz w:val="21"/>
          <w:szCs w:val="21"/>
          <w:highlight w:val="none"/>
        </w:rPr>
        <w:t>具有约束作用</w:t>
      </w:r>
      <w:r>
        <w:rPr>
          <w:rFonts w:hint="eastAsia" w:ascii="宋体" w:hAnsi="宋体" w:eastAsia="宋体"/>
          <w:color w:val="auto"/>
          <w:sz w:val="21"/>
          <w:szCs w:val="21"/>
          <w:highlight w:val="none"/>
        </w:rPr>
        <w:t>。</w:t>
      </w:r>
      <w:r>
        <w:rPr>
          <w:rFonts w:ascii="宋体" w:hAnsi="宋体" w:eastAsia="宋体"/>
          <w:color w:val="auto"/>
          <w:sz w:val="21"/>
          <w:szCs w:val="21"/>
          <w:highlight w:val="none"/>
        </w:rPr>
        <w:t>当招标文件的澄清</w:t>
      </w:r>
      <w:r>
        <w:rPr>
          <w:rFonts w:hint="eastAsia" w:ascii="宋体" w:hAnsi="宋体" w:eastAsia="宋体"/>
          <w:color w:val="auto"/>
          <w:sz w:val="21"/>
          <w:szCs w:val="21"/>
          <w:highlight w:val="none"/>
        </w:rPr>
        <w:t>或</w:t>
      </w:r>
      <w:r>
        <w:rPr>
          <w:rFonts w:ascii="宋体" w:hAnsi="宋体" w:eastAsia="宋体"/>
          <w:color w:val="auto"/>
          <w:sz w:val="21"/>
          <w:szCs w:val="21"/>
          <w:highlight w:val="none"/>
        </w:rPr>
        <w:t>修改等在同一内容的表述上不一致时，以最后发出的书面文件</w:t>
      </w:r>
      <w:r>
        <w:rPr>
          <w:rFonts w:hint="eastAsia" w:ascii="宋体" w:hAnsi="宋体" w:eastAsia="宋体"/>
          <w:color w:val="auto"/>
          <w:sz w:val="21"/>
          <w:szCs w:val="21"/>
          <w:highlight w:val="none"/>
        </w:rPr>
        <w:t>及公告</w:t>
      </w:r>
      <w:r>
        <w:rPr>
          <w:rFonts w:ascii="宋体" w:hAnsi="宋体" w:eastAsia="宋体"/>
          <w:color w:val="auto"/>
          <w:sz w:val="21"/>
          <w:szCs w:val="21"/>
          <w:highlight w:val="none"/>
        </w:rPr>
        <w:t>为准。</w:t>
      </w:r>
    </w:p>
    <w:p w14:paraId="2AD09760">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9.2.</w:t>
      </w:r>
      <w:r>
        <w:rPr>
          <w:rFonts w:hint="eastAsia" w:ascii="宋体" w:hAnsi="宋体" w:eastAsia="宋体"/>
          <w:color w:val="auto"/>
          <w:sz w:val="21"/>
          <w:szCs w:val="21"/>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76EE659">
      <w:pPr>
        <w:pStyle w:val="7"/>
        <w:ind w:left="0" w:leftChars="0" w:firstLine="0" w:firstLineChars="0"/>
        <w:rPr>
          <w:color w:val="auto"/>
          <w:highlight w:val="none"/>
        </w:rPr>
      </w:pPr>
    </w:p>
    <w:p w14:paraId="57ED00C3">
      <w:pPr>
        <w:pStyle w:val="4"/>
        <w:keepNext/>
        <w:keepLines/>
        <w:pageBreakBefore w:val="0"/>
        <w:widowControl/>
        <w:numPr>
          <w:ilvl w:val="0"/>
          <w:numId w:val="2"/>
        </w:numPr>
        <w:kinsoku/>
        <w:wordWrap/>
        <w:overflowPunct/>
        <w:topLinePunct w:val="0"/>
        <w:autoSpaceDE/>
        <w:autoSpaceDN/>
        <w:bidi w:val="0"/>
        <w:adjustRightInd w:val="0"/>
        <w:snapToGrid w:val="0"/>
        <w:spacing w:before="0" w:after="0" w:line="360" w:lineRule="auto"/>
        <w:ind w:left="0" w:firstLine="0"/>
        <w:jc w:val="center"/>
        <w:textAlignment w:val="auto"/>
        <w:rPr>
          <w:rFonts w:ascii="宋体" w:hAnsi="宋体" w:eastAsia="宋体"/>
          <w:color w:val="auto"/>
          <w:highlight w:val="none"/>
        </w:rPr>
      </w:pPr>
      <w:bookmarkStart w:id="29" w:name="_Toc3992"/>
      <w:r>
        <w:rPr>
          <w:rFonts w:hint="eastAsia" w:ascii="宋体" w:hAnsi="宋体" w:eastAsia="宋体"/>
          <w:color w:val="auto"/>
          <w:highlight w:val="none"/>
        </w:rPr>
        <w:t>投标文件的编制</w:t>
      </w:r>
      <w:bookmarkEnd w:id="29"/>
    </w:p>
    <w:p w14:paraId="29F4999B">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30" w:name="_Toc708"/>
      <w:r>
        <w:rPr>
          <w:rFonts w:hint="eastAsia" w:ascii="宋体" w:hAnsi="宋体" w:eastAsia="宋体"/>
          <w:color w:val="auto"/>
          <w:sz w:val="21"/>
          <w:szCs w:val="21"/>
          <w:highlight w:val="none"/>
        </w:rPr>
        <w:t>10.投标文件的语言及度量衡单位</w:t>
      </w:r>
      <w:bookmarkEnd w:id="30"/>
    </w:p>
    <w:p w14:paraId="545DA3F5">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10.1.</w:t>
      </w:r>
      <w:r>
        <w:rPr>
          <w:rFonts w:hint="eastAsia" w:ascii="宋体" w:hAnsi="宋体" w:eastAsia="宋体"/>
          <w:color w:val="auto"/>
          <w:sz w:val="21"/>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7D621E07">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10.2.</w:t>
      </w:r>
      <w:r>
        <w:rPr>
          <w:rFonts w:hint="eastAsia" w:ascii="宋体" w:hAnsi="宋体" w:eastAsia="宋体"/>
          <w:color w:val="auto"/>
          <w:sz w:val="21"/>
          <w:szCs w:val="21"/>
          <w:highlight w:val="none"/>
        </w:rPr>
        <w:t>除非招标文件在技术规格中另有规定，投标人在投标文件中及其与采购代理机构和采购人所有往来文件中的所有</w:t>
      </w:r>
      <w:r>
        <w:rPr>
          <w:rFonts w:ascii="宋体" w:hAnsi="宋体" w:eastAsia="宋体"/>
          <w:color w:val="auto"/>
          <w:sz w:val="21"/>
          <w:szCs w:val="21"/>
          <w:highlight w:val="none"/>
        </w:rPr>
        <w:t>计量单位</w:t>
      </w:r>
      <w:r>
        <w:rPr>
          <w:rFonts w:hint="eastAsia" w:ascii="宋体" w:hAnsi="宋体" w:eastAsia="宋体"/>
          <w:color w:val="auto"/>
          <w:sz w:val="21"/>
          <w:szCs w:val="21"/>
          <w:highlight w:val="none"/>
        </w:rPr>
        <w:t>均应采用中华人民共和国法定计量单位</w:t>
      </w:r>
      <w:r>
        <w:rPr>
          <w:rFonts w:ascii="宋体" w:hAnsi="宋体" w:eastAsia="宋体"/>
          <w:color w:val="auto"/>
          <w:sz w:val="21"/>
          <w:szCs w:val="21"/>
          <w:highlight w:val="none"/>
        </w:rPr>
        <w:t>。</w:t>
      </w:r>
    </w:p>
    <w:p w14:paraId="0E485A2A">
      <w:pPr>
        <w:pageBreakBefore w:val="0"/>
        <w:widowControl w:val="0"/>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p>
    <w:p w14:paraId="76291C48">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31" w:name="_Toc382049103"/>
      <w:bookmarkStart w:id="32" w:name="_Toc303084256"/>
      <w:bookmarkStart w:id="33" w:name="_Toc28866"/>
      <w:bookmarkStart w:id="34" w:name="_Toc307934854"/>
      <w:bookmarkStart w:id="35" w:name="_Toc29420"/>
      <w:r>
        <w:rPr>
          <w:rFonts w:hint="eastAsia" w:ascii="宋体" w:hAnsi="宋体" w:eastAsia="宋体"/>
          <w:color w:val="auto"/>
          <w:sz w:val="21"/>
          <w:szCs w:val="21"/>
          <w:highlight w:val="none"/>
        </w:rPr>
        <w:t>11.</w:t>
      </w:r>
      <w:r>
        <w:rPr>
          <w:rFonts w:ascii="宋体" w:hAnsi="宋体" w:eastAsia="宋体"/>
          <w:color w:val="auto"/>
          <w:sz w:val="21"/>
          <w:szCs w:val="21"/>
          <w:highlight w:val="none"/>
        </w:rPr>
        <w:t>投标文件的组成</w:t>
      </w:r>
      <w:bookmarkEnd w:id="31"/>
      <w:bookmarkEnd w:id="32"/>
      <w:bookmarkEnd w:id="33"/>
      <w:bookmarkEnd w:id="34"/>
      <w:bookmarkEnd w:id="35"/>
    </w:p>
    <w:p w14:paraId="01F3DE0F">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11.1.</w:t>
      </w:r>
      <w:r>
        <w:rPr>
          <w:rFonts w:hint="eastAsia" w:ascii="宋体" w:hAnsi="宋体" w:eastAsia="宋体"/>
          <w:color w:val="auto"/>
          <w:sz w:val="21"/>
          <w:szCs w:val="21"/>
          <w:highlight w:val="none"/>
        </w:rPr>
        <w:t>包括但不限于招标文件附件格式中要求提供的表格。</w:t>
      </w:r>
    </w:p>
    <w:p w14:paraId="0EF3DC4F">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color w:val="auto"/>
          <w:highlight w:val="none"/>
        </w:rPr>
      </w:pPr>
      <w:r>
        <w:rPr>
          <w:rFonts w:hint="eastAsia" w:ascii="宋体" w:hAnsi="宋体" w:eastAsia="宋体" w:cstheme="minorBidi"/>
          <w:color w:val="auto"/>
          <w:sz w:val="22"/>
          <w:szCs w:val="22"/>
          <w:highlight w:val="none"/>
          <w:lang w:val="en-US" w:eastAsia="zh-CN" w:bidi="ar-SA"/>
        </w:rPr>
        <w:t>11.2.</w:t>
      </w:r>
      <w:r>
        <w:rPr>
          <w:rFonts w:hint="eastAsia" w:ascii="宋体" w:hAnsi="宋体" w:eastAsia="宋体"/>
          <w:color w:val="auto"/>
          <w:sz w:val="21"/>
          <w:szCs w:val="21"/>
          <w:highlight w:val="none"/>
        </w:rPr>
        <w:t>上述文件须按顺序装订成册，并编制投标文件目录。除上述文件资料外投标人还须按投标人须知的要求制作“开标文件”。“开标文件”作为投标文件的一部分，须单独密封。</w:t>
      </w:r>
    </w:p>
    <w:p w14:paraId="5686B9FB">
      <w:pPr>
        <w:keepNext w:val="0"/>
        <w:keepLines w:val="0"/>
        <w:pageBreakBefore w:val="0"/>
        <w:widowControl/>
        <w:kinsoku/>
        <w:wordWrap/>
        <w:overflowPunct/>
        <w:topLinePunct w:val="0"/>
        <w:autoSpaceDE/>
        <w:autoSpaceDN/>
        <w:bidi w:val="0"/>
        <w:adjustRightInd w:val="0"/>
        <w:snapToGrid w:val="0"/>
        <w:spacing w:after="0" w:line="400" w:lineRule="exact"/>
        <w:textAlignment w:val="auto"/>
        <w:rPr>
          <w:color w:val="auto"/>
          <w:highlight w:val="none"/>
        </w:rPr>
      </w:pPr>
    </w:p>
    <w:p w14:paraId="2F3CCAC6">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36" w:name="_Toc11356"/>
      <w:r>
        <w:rPr>
          <w:rFonts w:hint="eastAsia" w:ascii="宋体" w:hAnsi="宋体" w:eastAsia="宋体"/>
          <w:color w:val="auto"/>
          <w:sz w:val="21"/>
          <w:szCs w:val="21"/>
          <w:highlight w:val="none"/>
        </w:rPr>
        <w:t>12.投标文件编制</w:t>
      </w:r>
      <w:bookmarkEnd w:id="36"/>
    </w:p>
    <w:p w14:paraId="4995690F">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bookmarkStart w:id="37" w:name="_Toc303084258"/>
      <w:r>
        <w:rPr>
          <w:rFonts w:hint="eastAsia" w:ascii="宋体" w:hAnsi="宋体" w:eastAsia="宋体" w:cstheme="minorBidi"/>
          <w:color w:val="auto"/>
          <w:sz w:val="21"/>
          <w:szCs w:val="21"/>
          <w:highlight w:val="none"/>
          <w:lang w:val="en-US" w:eastAsia="zh-CN" w:bidi="ar-SA"/>
        </w:rPr>
        <w:t>12.1.</w:t>
      </w:r>
      <w:r>
        <w:rPr>
          <w:rFonts w:hint="eastAsia" w:ascii="宋体" w:hAnsi="宋体" w:eastAsia="宋体"/>
          <w:color w:val="auto"/>
          <w:sz w:val="21"/>
          <w:szCs w:val="21"/>
          <w:highlight w:val="none"/>
        </w:rPr>
        <w:t>投标人应按招标文件的规定以及</w:t>
      </w:r>
      <w:r>
        <w:rPr>
          <w:rFonts w:hint="eastAsia" w:ascii="宋体" w:hAnsi="宋体" w:eastAsia="宋体"/>
          <w:color w:val="auto"/>
          <w:sz w:val="21"/>
          <w:szCs w:val="21"/>
          <w:highlight w:val="none"/>
          <w:lang w:eastAsia="zh-CN"/>
        </w:rPr>
        <w:t>“第六部分</w:t>
      </w:r>
      <w:r>
        <w:rPr>
          <w:rFonts w:hint="eastAsia" w:ascii="宋体" w:hAnsi="宋体" w:eastAsia="宋体"/>
          <w:color w:val="auto"/>
          <w:sz w:val="21"/>
          <w:szCs w:val="21"/>
          <w:highlight w:val="none"/>
          <w:lang w:val="en-US" w:eastAsia="zh-CN"/>
        </w:rPr>
        <w:t xml:space="preserve"> 附件-投标文件格式</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要求的内容和格式完整地填写</w:t>
      </w:r>
      <w:r>
        <w:rPr>
          <w:rFonts w:ascii="宋体" w:hAnsi="宋体" w:eastAsia="宋体"/>
          <w:color w:val="auto"/>
          <w:sz w:val="21"/>
          <w:szCs w:val="21"/>
          <w:highlight w:val="none"/>
        </w:rPr>
        <w:t>（表格可以按同样格式扩展）</w:t>
      </w:r>
      <w:r>
        <w:rPr>
          <w:rFonts w:hint="eastAsia" w:ascii="宋体" w:hAnsi="宋体" w:eastAsia="宋体"/>
          <w:color w:val="auto"/>
          <w:sz w:val="21"/>
          <w:szCs w:val="21"/>
          <w:highlight w:val="none"/>
        </w:rPr>
        <w:t>和提供资料，投标人必须对投标文件所提供的全部材料的真实性承担法律责任，并无条件接受采购人或采购代理机构及政府采购监督管理部门等对其中任何资料进行核实的要求。</w:t>
      </w:r>
    </w:p>
    <w:p w14:paraId="403A4113">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12.2.</w:t>
      </w:r>
      <w:r>
        <w:rPr>
          <w:rFonts w:hint="eastAsia" w:ascii="宋体" w:hAnsi="宋体" w:eastAsia="宋体"/>
          <w:color w:val="auto"/>
          <w:sz w:val="21"/>
          <w:szCs w:val="21"/>
          <w:highlight w:val="none"/>
        </w:rPr>
        <w:t>因投标文件编制存在歧义对投标人产生负面影响的，投标人自行承担后果。</w:t>
      </w:r>
    </w:p>
    <w:p w14:paraId="343264E2">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12.3.</w:t>
      </w:r>
      <w:r>
        <w:rPr>
          <w:rFonts w:hint="eastAsia" w:ascii="宋体" w:hAnsi="宋体" w:eastAsia="宋体"/>
          <w:color w:val="auto"/>
          <w:sz w:val="21"/>
          <w:szCs w:val="21"/>
          <w:highlight w:val="none"/>
        </w:rPr>
        <w:t>投标单位名称与投标人公章不一致，若投标单位名称已进行变更，应在投标文件中提供相应的证明材料并加盖公章，否则投标文件无效。</w:t>
      </w:r>
    </w:p>
    <w:p w14:paraId="15A14AE0">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12.4.</w:t>
      </w:r>
      <w:r>
        <w:rPr>
          <w:rFonts w:hint="eastAsia" w:ascii="宋体" w:hAnsi="宋体" w:eastAsia="宋体"/>
          <w:color w:val="auto"/>
          <w:sz w:val="21"/>
          <w:szCs w:val="21"/>
          <w:highlight w:val="none"/>
        </w:rPr>
        <w:t>有下列情形之一的，视为投标人串通投标，其投标无效：</w:t>
      </w:r>
    </w:p>
    <w:bookmarkEnd w:id="37"/>
    <w:p w14:paraId="3E72B9A2">
      <w:pPr>
        <w:pageBreakBefore w:val="0"/>
        <w:widowControl w:val="0"/>
        <w:kinsoku/>
        <w:wordWrap/>
        <w:topLinePunct w:val="0"/>
        <w:autoSpaceDE/>
        <w:autoSpaceDN/>
        <w:bidi w:val="0"/>
        <w:adjustRightInd/>
        <w:snapToGrid/>
        <w:spacing w:after="0" w:line="400" w:lineRule="exact"/>
        <w:ind w:firstLine="420" w:firstLineChars="200"/>
        <w:jc w:val="both"/>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（一）不同投标人的投标文件由同一单位或者个人编制；</w:t>
      </w:r>
    </w:p>
    <w:p w14:paraId="4F5552C0">
      <w:pPr>
        <w:pageBreakBefore w:val="0"/>
        <w:widowControl w:val="0"/>
        <w:kinsoku/>
        <w:wordWrap/>
        <w:topLinePunct w:val="0"/>
        <w:autoSpaceDE/>
        <w:autoSpaceDN/>
        <w:bidi w:val="0"/>
        <w:adjustRightInd/>
        <w:snapToGrid/>
        <w:spacing w:after="0" w:line="400" w:lineRule="exact"/>
        <w:ind w:firstLine="420" w:firstLineChars="200"/>
        <w:jc w:val="both"/>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（二）不同投标人委托同一单位或者个人办理投标事宜；</w:t>
      </w:r>
    </w:p>
    <w:p w14:paraId="7F181484">
      <w:pPr>
        <w:pageBreakBefore w:val="0"/>
        <w:widowControl w:val="0"/>
        <w:kinsoku/>
        <w:wordWrap/>
        <w:topLinePunct w:val="0"/>
        <w:autoSpaceDE/>
        <w:autoSpaceDN/>
        <w:bidi w:val="0"/>
        <w:adjustRightInd/>
        <w:snapToGrid/>
        <w:spacing w:after="0" w:line="400" w:lineRule="exact"/>
        <w:ind w:firstLine="420" w:firstLineChars="200"/>
        <w:jc w:val="both"/>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（三）不同投标人的投标文件载明的项目管理成员或者联系人员为同一人；</w:t>
      </w:r>
    </w:p>
    <w:p w14:paraId="58C199BB">
      <w:pPr>
        <w:pageBreakBefore w:val="0"/>
        <w:widowControl w:val="0"/>
        <w:kinsoku/>
        <w:wordWrap/>
        <w:topLinePunct w:val="0"/>
        <w:autoSpaceDE/>
        <w:autoSpaceDN/>
        <w:bidi w:val="0"/>
        <w:adjustRightInd/>
        <w:snapToGrid/>
        <w:spacing w:after="0" w:line="400" w:lineRule="exact"/>
        <w:ind w:firstLine="420" w:firstLineChars="200"/>
        <w:jc w:val="both"/>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（四）不同投标人的投标文件异常一致或者投标报价呈规律性差异；</w:t>
      </w:r>
    </w:p>
    <w:p w14:paraId="71613CB7">
      <w:pPr>
        <w:pageBreakBefore w:val="0"/>
        <w:widowControl w:val="0"/>
        <w:kinsoku/>
        <w:wordWrap/>
        <w:topLinePunct w:val="0"/>
        <w:autoSpaceDE/>
        <w:autoSpaceDN/>
        <w:bidi w:val="0"/>
        <w:adjustRightInd/>
        <w:snapToGrid/>
        <w:spacing w:after="0" w:line="400" w:lineRule="exact"/>
        <w:ind w:firstLine="420" w:firstLineChars="200"/>
        <w:jc w:val="both"/>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（五）不同投标人的投标文件相互混装；</w:t>
      </w:r>
    </w:p>
    <w:p w14:paraId="5AB60CCA">
      <w:pPr>
        <w:pageBreakBefore w:val="0"/>
        <w:widowControl w:val="0"/>
        <w:kinsoku/>
        <w:wordWrap/>
        <w:topLinePunct w:val="0"/>
        <w:autoSpaceDE/>
        <w:autoSpaceDN/>
        <w:bidi w:val="0"/>
        <w:adjustRightInd/>
        <w:snapToGrid/>
        <w:spacing w:after="0" w:line="400" w:lineRule="exact"/>
        <w:ind w:firstLine="420" w:firstLineChars="200"/>
        <w:jc w:val="both"/>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（六）不同投标人的投标保证金从同一单位或者个人的账户转出。</w:t>
      </w:r>
    </w:p>
    <w:p w14:paraId="704491D5">
      <w:pPr>
        <w:pageBreakBefore w:val="0"/>
        <w:widowControl w:val="0"/>
        <w:kinsoku/>
        <w:wordWrap/>
        <w:topLinePunct w:val="0"/>
        <w:autoSpaceDE/>
        <w:autoSpaceDN/>
        <w:bidi w:val="0"/>
        <w:adjustRightInd/>
        <w:snapToGrid/>
        <w:spacing w:after="0" w:line="400" w:lineRule="exact"/>
        <w:jc w:val="both"/>
        <w:textAlignment w:val="auto"/>
        <w:rPr>
          <w:rFonts w:hint="eastAsia" w:eastAsia="微软雅黑"/>
          <w:color w:val="auto"/>
          <w:highlight w:val="none"/>
          <w:lang w:val="en-US" w:eastAsia="zh-CN"/>
        </w:rPr>
      </w:pPr>
      <w:r>
        <w:rPr>
          <w:rFonts w:hint="eastAsia"/>
          <w:color w:val="auto"/>
          <w:highlight w:val="none"/>
          <w:lang w:val="en-US" w:eastAsia="zh-CN"/>
        </w:rPr>
        <w:t xml:space="preserve"> </w:t>
      </w:r>
    </w:p>
    <w:p w14:paraId="52343C11">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38" w:name="_Toc28034"/>
      <w:r>
        <w:rPr>
          <w:rFonts w:hint="eastAsia" w:ascii="宋体" w:hAnsi="宋体" w:eastAsia="宋体"/>
          <w:color w:val="auto"/>
          <w:sz w:val="21"/>
          <w:szCs w:val="21"/>
          <w:highlight w:val="none"/>
        </w:rPr>
        <w:t>13.投标报价说明</w:t>
      </w:r>
      <w:bookmarkEnd w:id="38"/>
    </w:p>
    <w:p w14:paraId="794AF1A3">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13.1.</w:t>
      </w:r>
      <w:r>
        <w:rPr>
          <w:rFonts w:hint="eastAsia" w:ascii="宋体" w:hAnsi="宋体" w:eastAsia="宋体"/>
          <w:color w:val="auto"/>
          <w:sz w:val="21"/>
          <w:szCs w:val="21"/>
          <w:highlight w:val="none"/>
        </w:rPr>
        <w:t>本次招标，投标人应按用户需求中的要求进行投标报价，少报无效。</w:t>
      </w:r>
    </w:p>
    <w:p w14:paraId="7D015D36">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13.2.</w:t>
      </w:r>
      <w:r>
        <w:rPr>
          <w:rFonts w:hint="eastAsia" w:ascii="宋体" w:hAnsi="宋体" w:eastAsia="宋体"/>
          <w:color w:val="auto"/>
          <w:sz w:val="21"/>
          <w:szCs w:val="21"/>
          <w:highlight w:val="none"/>
        </w:rPr>
        <w:t>投标人所提供的货物或服务均以人民币（或相关费率）报价。</w:t>
      </w:r>
    </w:p>
    <w:p w14:paraId="7BBA2787">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13.3.</w:t>
      </w:r>
      <w:r>
        <w:rPr>
          <w:rFonts w:hint="eastAsia" w:ascii="宋体" w:hAnsi="宋体" w:eastAsia="宋体"/>
          <w:color w:val="auto"/>
          <w:sz w:val="21"/>
          <w:szCs w:val="21"/>
          <w:highlight w:val="none"/>
        </w:rPr>
        <w:t>投标报价应包含完成本次招标所有服务内容的费用，包含各种税务费及合同实施过程中的全部费用和售后服务费等。</w:t>
      </w:r>
    </w:p>
    <w:p w14:paraId="031D2F48">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13.4.</w:t>
      </w:r>
      <w:r>
        <w:rPr>
          <w:rFonts w:hint="eastAsia" w:ascii="宋体" w:hAnsi="宋体" w:eastAsia="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EA3575">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13.5.</w:t>
      </w:r>
      <w:r>
        <w:rPr>
          <w:rFonts w:hint="eastAsia" w:ascii="宋体" w:hAnsi="宋体" w:eastAsia="宋体"/>
          <w:color w:val="auto"/>
          <w:sz w:val="21"/>
          <w:szCs w:val="21"/>
          <w:highlight w:val="none"/>
        </w:rPr>
        <w:t>中标后开出的所有发票必须与中标人的名称一致。</w:t>
      </w:r>
    </w:p>
    <w:p w14:paraId="5796AF2F">
      <w:pPr>
        <w:pageBreakBefore w:val="0"/>
        <w:kinsoku/>
        <w:wordWrap/>
        <w:topLinePunct w:val="0"/>
        <w:autoSpaceDE/>
        <w:autoSpaceDN/>
        <w:bidi w:val="0"/>
        <w:spacing w:line="400" w:lineRule="exact"/>
        <w:textAlignment w:val="auto"/>
        <w:rPr>
          <w:color w:val="auto"/>
          <w:highlight w:val="none"/>
        </w:rPr>
      </w:pPr>
    </w:p>
    <w:p w14:paraId="0F70A10C">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39" w:name="_Toc34"/>
      <w:r>
        <w:rPr>
          <w:rFonts w:hint="eastAsia" w:ascii="宋体" w:hAnsi="宋体" w:eastAsia="宋体"/>
          <w:color w:val="auto"/>
          <w:sz w:val="21"/>
          <w:szCs w:val="21"/>
          <w:highlight w:val="none"/>
        </w:rPr>
        <w:t>14.投标人所提供的服务或货物的证明文件</w:t>
      </w:r>
      <w:bookmarkEnd w:id="39"/>
    </w:p>
    <w:p w14:paraId="07B93496">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bookmarkStart w:id="40" w:name="_Hlt107925668"/>
      <w:bookmarkEnd w:id="40"/>
      <w:bookmarkStart w:id="41" w:name="_Hlt107925638"/>
      <w:bookmarkEnd w:id="41"/>
      <w:r>
        <w:rPr>
          <w:rFonts w:hint="eastAsia" w:ascii="宋体" w:hAnsi="宋体" w:eastAsia="宋体" w:cstheme="minorBidi"/>
          <w:color w:val="auto"/>
          <w:sz w:val="21"/>
          <w:szCs w:val="21"/>
          <w:highlight w:val="none"/>
          <w:lang w:val="en-US" w:eastAsia="zh-CN" w:bidi="ar-SA"/>
        </w:rPr>
        <w:t>14.1.</w:t>
      </w:r>
      <w:r>
        <w:rPr>
          <w:rFonts w:hint="eastAsia" w:ascii="宋体" w:hAnsi="宋体" w:eastAsia="宋体"/>
          <w:color w:val="auto"/>
          <w:sz w:val="21"/>
          <w:szCs w:val="21"/>
          <w:highlight w:val="none"/>
        </w:rPr>
        <w:t>证明服务或货物的文件，它可以是文字资料、图纸和数据包括但不限于：服务主要内容、标准、质量、人员资质、计划安排、报告审核等的详细说明；对招标文件第三部分《用户需求书》中规定的要求进行详细应答和说明。</w:t>
      </w:r>
    </w:p>
    <w:p w14:paraId="2A6BDB96">
      <w:pPr>
        <w:pStyle w:val="26"/>
        <w:pageBreakBefore w:val="0"/>
        <w:widowControl w:val="0"/>
        <w:kinsoku/>
        <w:wordWrap/>
        <w:topLinePunct w:val="0"/>
        <w:autoSpaceDE/>
        <w:autoSpaceDN/>
        <w:bidi w:val="0"/>
        <w:adjustRightInd/>
        <w:snapToGrid/>
        <w:spacing w:after="0" w:line="400" w:lineRule="exact"/>
        <w:ind w:left="425" w:firstLine="0" w:firstLineChars="0"/>
        <w:jc w:val="both"/>
        <w:textAlignment w:val="auto"/>
        <w:rPr>
          <w:color w:val="auto"/>
          <w:highlight w:val="none"/>
        </w:rPr>
      </w:pPr>
    </w:p>
    <w:p w14:paraId="6CA006E6">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42" w:name="_Toc10940"/>
      <w:r>
        <w:rPr>
          <w:rFonts w:hint="eastAsia" w:ascii="宋体" w:hAnsi="宋体" w:eastAsia="宋体"/>
          <w:color w:val="auto"/>
          <w:sz w:val="21"/>
          <w:szCs w:val="21"/>
          <w:highlight w:val="none"/>
        </w:rPr>
        <w:t>15.★投标有效期</w:t>
      </w:r>
      <w:bookmarkEnd w:id="42"/>
    </w:p>
    <w:p w14:paraId="7A308357">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15.1.</w:t>
      </w:r>
      <w:r>
        <w:rPr>
          <w:rFonts w:hint="eastAsia" w:ascii="宋体" w:hAnsi="宋体" w:eastAsia="宋体"/>
          <w:color w:val="auto"/>
          <w:sz w:val="21"/>
          <w:szCs w:val="21"/>
          <w:highlight w:val="none"/>
        </w:rPr>
        <w:t>投标文件应根据投标人须知的规定在投标截止日后的90天内保持有效。</w:t>
      </w:r>
    </w:p>
    <w:p w14:paraId="6DE03D23">
      <w:pPr>
        <w:pageBreakBefore w:val="0"/>
        <w:widowControl w:val="0"/>
        <w:kinsoku/>
        <w:wordWrap/>
        <w:topLinePunct w:val="0"/>
        <w:autoSpaceDE/>
        <w:autoSpaceDN/>
        <w:bidi w:val="0"/>
        <w:adjustRightInd/>
        <w:snapToGrid/>
        <w:spacing w:after="0" w:line="400" w:lineRule="exact"/>
        <w:ind w:left="567"/>
        <w:jc w:val="both"/>
        <w:textAlignment w:val="auto"/>
        <w:rPr>
          <w:color w:val="auto"/>
          <w:highlight w:val="none"/>
        </w:rPr>
      </w:pPr>
    </w:p>
    <w:p w14:paraId="590A5D19">
      <w:pPr>
        <w:pStyle w:val="5"/>
        <w:pageBreakBefore w:val="0"/>
        <w:widowControl w:val="0"/>
        <w:kinsoku/>
        <w:wordWrap/>
        <w:overflowPunct w:val="0"/>
        <w:topLinePunct w:val="0"/>
        <w:autoSpaceDE/>
        <w:autoSpaceDN/>
        <w:bidi w:val="0"/>
        <w:spacing w:before="0" w:after="0" w:line="400" w:lineRule="exact"/>
        <w:textAlignment w:val="auto"/>
        <w:rPr>
          <w:rFonts w:hint="eastAsia" w:ascii="宋体" w:hAnsi="宋体" w:eastAsia="宋体"/>
          <w:color w:val="auto"/>
          <w:sz w:val="21"/>
          <w:szCs w:val="21"/>
          <w:highlight w:val="none"/>
          <w:lang w:eastAsia="zh-CN"/>
        </w:rPr>
      </w:pPr>
      <w:bookmarkStart w:id="43" w:name="_Toc5483"/>
      <w:r>
        <w:rPr>
          <w:rFonts w:hint="eastAsia" w:ascii="宋体" w:hAnsi="宋体" w:eastAsia="宋体"/>
          <w:color w:val="auto"/>
          <w:sz w:val="21"/>
          <w:szCs w:val="21"/>
          <w:highlight w:val="none"/>
        </w:rPr>
        <w:t>16.投标保证金</w:t>
      </w:r>
      <w:bookmarkEnd w:id="43"/>
      <w:r>
        <w:rPr>
          <w:rFonts w:hint="eastAsia" w:ascii="宋体" w:hAnsi="宋体" w:eastAsia="宋体"/>
          <w:color w:val="auto"/>
          <w:sz w:val="21"/>
          <w:szCs w:val="21"/>
          <w:highlight w:val="none"/>
          <w:lang w:eastAsia="zh-CN"/>
        </w:rPr>
        <w:t>（本项目不收取）</w:t>
      </w:r>
    </w:p>
    <w:p w14:paraId="3381B8D0">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bookmarkStart w:id="44" w:name="_Ref179619405"/>
      <w:r>
        <w:rPr>
          <w:rFonts w:hint="eastAsia" w:ascii="宋体" w:hAnsi="宋体" w:eastAsia="宋体" w:cstheme="minorBidi"/>
          <w:color w:val="auto"/>
          <w:sz w:val="21"/>
          <w:szCs w:val="21"/>
          <w:highlight w:val="none"/>
          <w:lang w:val="en-US" w:eastAsia="zh-CN" w:bidi="ar-SA"/>
        </w:rPr>
        <w:t>16.1.</w:t>
      </w:r>
      <w:r>
        <w:rPr>
          <w:rFonts w:hint="eastAsia" w:ascii="宋体" w:hAnsi="宋体" w:eastAsia="宋体"/>
          <w:color w:val="auto"/>
          <w:sz w:val="21"/>
          <w:szCs w:val="21"/>
          <w:highlight w:val="none"/>
        </w:rPr>
        <w:t>投标人应按投标资料表中规定数额及法律规定的时间按相应包号保证金金额要求一次性提交投标保证金，以多次汇入达到招标文件要求金额的投标保证金无效。</w:t>
      </w:r>
      <w:bookmarkEnd w:id="44"/>
    </w:p>
    <w:p w14:paraId="228646C3">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16.2.</w:t>
      </w:r>
      <w:r>
        <w:rPr>
          <w:rFonts w:hint="eastAsia" w:ascii="宋体" w:hAnsi="宋体" w:eastAsia="宋体"/>
          <w:color w:val="auto"/>
          <w:sz w:val="21"/>
          <w:szCs w:val="21"/>
          <w:highlight w:val="none"/>
        </w:rPr>
        <w:t>投标保证金金额与招标文件要求金额保持一致（详见投标资料表）。</w:t>
      </w:r>
    </w:p>
    <w:p w14:paraId="7EEB915C">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16.3.</w:t>
      </w:r>
      <w:r>
        <w:rPr>
          <w:rFonts w:hint="eastAsia" w:ascii="宋体" w:hAnsi="宋体" w:eastAsia="宋体"/>
          <w:color w:val="auto"/>
          <w:sz w:val="21"/>
          <w:szCs w:val="21"/>
          <w:highlight w:val="none"/>
        </w:rPr>
        <w:t>投标保证金有效期与投标有效期保持一致。</w:t>
      </w:r>
    </w:p>
    <w:p w14:paraId="1D9DC656">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16.4.</w:t>
      </w:r>
      <w:r>
        <w:rPr>
          <w:rFonts w:hint="eastAsia" w:ascii="宋体" w:hAnsi="宋体" w:eastAsia="宋体"/>
          <w:color w:val="auto"/>
          <w:sz w:val="21"/>
          <w:szCs w:val="21"/>
          <w:highlight w:val="none"/>
        </w:rPr>
        <w:t>投标人应一次性缴交招标文件规定数额的投标保证金，投标人与交款人名称必须一致</w:t>
      </w:r>
      <w:r>
        <w:rPr>
          <w:rFonts w:hint="eastAsia" w:ascii="宋体" w:hAnsi="宋体" w:eastAsia="宋体"/>
          <w:color w:val="auto"/>
          <w:sz w:val="21"/>
          <w:szCs w:val="21"/>
          <w:highlight w:val="none"/>
          <w:lang w:eastAsia="zh-CN"/>
        </w:rPr>
        <w:t>（分公司投标的，其保证金可由上级公司缴纳并提供加盖公章的相关证明）</w:t>
      </w:r>
      <w:r>
        <w:rPr>
          <w:rFonts w:hint="eastAsia" w:ascii="宋体" w:hAnsi="宋体" w:eastAsia="宋体"/>
          <w:color w:val="auto"/>
          <w:sz w:val="21"/>
          <w:szCs w:val="21"/>
          <w:highlight w:val="none"/>
        </w:rPr>
        <w:t>，非投标人缴纳的投标保证金无效。</w:t>
      </w:r>
    </w:p>
    <w:p w14:paraId="11983FB2">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16.5.</w:t>
      </w:r>
      <w:r>
        <w:rPr>
          <w:rFonts w:hint="eastAsia" w:ascii="宋体" w:hAnsi="宋体" w:eastAsia="宋体"/>
          <w:color w:val="auto"/>
          <w:sz w:val="21"/>
          <w:szCs w:val="21"/>
          <w:highlight w:val="none"/>
        </w:rPr>
        <w:t>采用银行转账、电汇方式提交的,付至采购代理机构指定账户上。 (详见投标人资料表)</w:t>
      </w:r>
    </w:p>
    <w:p w14:paraId="5F4A5062">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16.6.</w:t>
      </w:r>
      <w:r>
        <w:rPr>
          <w:rFonts w:hint="eastAsia" w:ascii="宋体" w:hAnsi="宋体" w:eastAsia="宋体"/>
          <w:color w:val="auto"/>
          <w:sz w:val="21"/>
          <w:szCs w:val="21"/>
          <w:highlight w:val="none"/>
        </w:rPr>
        <w:t>投标担保。是指由担保机构为供应商交纳投标保证金向采购人或者采购代理机构提供的保证担保。供应商在投标有效期内撤回投标文件或中标后不签订政府采购合同的，由担保机构按照担保函的约定履行支付投标保证金的责任。（投标担保格式详见附件《政府采购投标担保函》）</w:t>
      </w:r>
    </w:p>
    <w:p w14:paraId="24BE0673">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16.7.</w:t>
      </w:r>
      <w:r>
        <w:rPr>
          <w:rFonts w:hint="eastAsia" w:ascii="宋体" w:hAnsi="宋体" w:eastAsia="宋体"/>
          <w:color w:val="auto"/>
          <w:sz w:val="21"/>
          <w:szCs w:val="21"/>
          <w:highlight w:val="none"/>
        </w:rPr>
        <w:t>采用《政府采购投标担保函》提交的，应符合下列规定：</w:t>
      </w:r>
    </w:p>
    <w:p w14:paraId="35F60DCB">
      <w:pPr>
        <w:pageBreakBefore w:val="0"/>
        <w:kinsoku/>
        <w:wordWrap/>
        <w:topLinePunct w:val="0"/>
        <w:autoSpaceDE/>
        <w:autoSpaceDN/>
        <w:bidi w:val="0"/>
        <w:spacing w:after="0" w:line="400" w:lineRule="exact"/>
        <w:ind w:firstLine="422" w:firstLineChars="200"/>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①投标担保函有效期应与投标有效期一致；</w:t>
      </w:r>
    </w:p>
    <w:p w14:paraId="270E378F">
      <w:pPr>
        <w:pageBreakBefore w:val="0"/>
        <w:kinsoku/>
        <w:wordWrap/>
        <w:topLinePunct w:val="0"/>
        <w:autoSpaceDE/>
        <w:autoSpaceDN/>
        <w:bidi w:val="0"/>
        <w:spacing w:after="0" w:line="400" w:lineRule="exact"/>
        <w:ind w:firstLine="422" w:firstLineChars="200"/>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②投标担保金额应与本项目的投标保证金一致；</w:t>
      </w:r>
    </w:p>
    <w:p w14:paraId="357A526F">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16.8.</w:t>
      </w:r>
      <w:r>
        <w:rPr>
          <w:rFonts w:hint="eastAsia" w:ascii="宋体" w:hAnsi="宋体" w:eastAsia="宋体"/>
          <w:color w:val="auto"/>
          <w:sz w:val="21"/>
          <w:szCs w:val="21"/>
          <w:highlight w:val="none"/>
        </w:rPr>
        <w:t>保证金不接受现金方式（包括以存现方式）提交，未按要求提交投标保证金的将导致废标。</w:t>
      </w:r>
    </w:p>
    <w:p w14:paraId="5E11C28F">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16.9.</w:t>
      </w:r>
      <w:r>
        <w:rPr>
          <w:rFonts w:hint="eastAsia" w:ascii="宋体" w:hAnsi="宋体" w:eastAsia="宋体"/>
          <w:color w:val="auto"/>
          <w:sz w:val="21"/>
          <w:szCs w:val="21"/>
          <w:highlight w:val="none"/>
        </w:rPr>
        <w:t>未中标的投标人的保证金在采购结果公示发出后5个工作日内退还，中标投标人的保证金在采购合同签订后5个工作日内退还。</w:t>
      </w:r>
    </w:p>
    <w:p w14:paraId="1F7A94CC">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16.10.</w:t>
      </w:r>
      <w:r>
        <w:rPr>
          <w:rFonts w:hint="eastAsia" w:ascii="宋体" w:hAnsi="宋体" w:eastAsia="宋体"/>
          <w:color w:val="auto"/>
          <w:sz w:val="21"/>
          <w:szCs w:val="21"/>
          <w:highlight w:val="none"/>
        </w:rPr>
        <w:t>为方便退还未中标的投保人的保证金，投标人应制作《投标保证金汇入情况说明》随开标文件一并递交。</w:t>
      </w:r>
    </w:p>
    <w:p w14:paraId="227CC549">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b/>
          <w:bCs/>
          <w:color w:val="auto"/>
          <w:sz w:val="21"/>
          <w:szCs w:val="21"/>
          <w:highlight w:val="none"/>
        </w:rPr>
      </w:pPr>
      <w:r>
        <w:rPr>
          <w:rFonts w:hint="eastAsia" w:ascii="宋体" w:hAnsi="宋体" w:eastAsia="宋体" w:cstheme="minorBidi"/>
          <w:b/>
          <w:bCs/>
          <w:color w:val="auto"/>
          <w:sz w:val="21"/>
          <w:szCs w:val="21"/>
          <w:highlight w:val="none"/>
          <w:lang w:val="en-US" w:eastAsia="zh-CN" w:bidi="ar-SA"/>
        </w:rPr>
        <w:t>16.11.</w:t>
      </w:r>
      <w:r>
        <w:rPr>
          <w:rFonts w:hint="eastAsia" w:ascii="宋体" w:hAnsi="宋体" w:eastAsia="宋体"/>
          <w:b/>
          <w:bCs/>
          <w:color w:val="auto"/>
          <w:sz w:val="21"/>
          <w:szCs w:val="21"/>
          <w:highlight w:val="none"/>
        </w:rPr>
        <w:t>有下列情形之一的，投标保证金将不予退还：</w:t>
      </w:r>
    </w:p>
    <w:p w14:paraId="5594A93B">
      <w:pPr>
        <w:pageBreakBefore w:val="0"/>
        <w:kinsoku/>
        <w:wordWrap/>
        <w:topLinePunct w:val="0"/>
        <w:autoSpaceDE/>
        <w:autoSpaceDN/>
        <w:bidi w:val="0"/>
        <w:spacing w:after="0" w:line="400" w:lineRule="exact"/>
        <w:ind w:firstLine="422" w:firstLineChars="200"/>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①投标人在招标文件中规定的投标有效期内撤销其投标。</w:t>
      </w:r>
    </w:p>
    <w:p w14:paraId="248F191A">
      <w:pPr>
        <w:pageBreakBefore w:val="0"/>
        <w:kinsoku/>
        <w:wordWrap/>
        <w:topLinePunct w:val="0"/>
        <w:autoSpaceDE/>
        <w:autoSpaceDN/>
        <w:bidi w:val="0"/>
        <w:spacing w:after="0" w:line="400" w:lineRule="exact"/>
        <w:ind w:firstLine="422" w:firstLineChars="200"/>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②法律法规规定不予退还投标保证金的其它情形。</w:t>
      </w:r>
    </w:p>
    <w:p w14:paraId="4688D79C">
      <w:pPr>
        <w:pStyle w:val="7"/>
        <w:rPr>
          <w:rFonts w:hint="eastAsia"/>
          <w:color w:val="auto"/>
          <w:highlight w:val="none"/>
        </w:rPr>
      </w:pPr>
    </w:p>
    <w:p w14:paraId="31E90987">
      <w:pPr>
        <w:pStyle w:val="4"/>
        <w:keepNext/>
        <w:keepLines/>
        <w:pageBreakBefore w:val="0"/>
        <w:widowControl/>
        <w:numPr>
          <w:ilvl w:val="0"/>
          <w:numId w:val="2"/>
        </w:numPr>
        <w:kinsoku/>
        <w:wordWrap/>
        <w:overflowPunct/>
        <w:topLinePunct w:val="0"/>
        <w:autoSpaceDE/>
        <w:autoSpaceDN/>
        <w:bidi w:val="0"/>
        <w:adjustRightInd w:val="0"/>
        <w:snapToGrid w:val="0"/>
        <w:spacing w:before="0" w:after="0" w:line="360" w:lineRule="auto"/>
        <w:ind w:left="0" w:firstLine="0"/>
        <w:jc w:val="center"/>
        <w:textAlignment w:val="auto"/>
        <w:rPr>
          <w:rFonts w:ascii="宋体" w:hAnsi="宋体" w:eastAsia="宋体"/>
          <w:color w:val="auto"/>
          <w:highlight w:val="none"/>
        </w:rPr>
      </w:pPr>
      <w:bookmarkStart w:id="45" w:name="_Toc8216"/>
      <w:r>
        <w:rPr>
          <w:rFonts w:hint="eastAsia" w:ascii="宋体" w:hAnsi="宋体" w:eastAsia="宋体"/>
          <w:color w:val="auto"/>
          <w:highlight w:val="none"/>
        </w:rPr>
        <w:t>投标文件的递交</w:t>
      </w:r>
      <w:bookmarkEnd w:id="45"/>
    </w:p>
    <w:p w14:paraId="49F54DCA">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46" w:name="_Toc382049111"/>
      <w:bookmarkStart w:id="47" w:name="_Toc303084264"/>
      <w:bookmarkStart w:id="48" w:name="_Toc24997"/>
      <w:bookmarkStart w:id="49" w:name="_Toc16724"/>
      <w:r>
        <w:rPr>
          <w:rFonts w:hint="eastAsia" w:ascii="宋体" w:hAnsi="宋体" w:eastAsia="宋体"/>
          <w:color w:val="auto"/>
          <w:sz w:val="21"/>
          <w:szCs w:val="21"/>
          <w:highlight w:val="none"/>
        </w:rPr>
        <w:t>17.</w:t>
      </w:r>
      <w:r>
        <w:rPr>
          <w:rFonts w:ascii="宋体" w:hAnsi="宋体" w:eastAsia="宋体"/>
          <w:color w:val="auto"/>
          <w:sz w:val="21"/>
          <w:szCs w:val="21"/>
          <w:highlight w:val="none"/>
        </w:rPr>
        <w:t>投标文件的</w:t>
      </w:r>
      <w:r>
        <w:rPr>
          <w:rFonts w:hint="eastAsia" w:ascii="宋体" w:hAnsi="宋体" w:eastAsia="宋体"/>
          <w:color w:val="auto"/>
          <w:sz w:val="21"/>
          <w:szCs w:val="21"/>
          <w:highlight w:val="none"/>
        </w:rPr>
        <w:t>装订，签署，</w:t>
      </w:r>
      <w:r>
        <w:rPr>
          <w:rFonts w:ascii="宋体" w:hAnsi="宋体" w:eastAsia="宋体"/>
          <w:color w:val="auto"/>
          <w:sz w:val="21"/>
          <w:szCs w:val="21"/>
          <w:highlight w:val="none"/>
        </w:rPr>
        <w:t>密封和标记</w:t>
      </w:r>
      <w:bookmarkEnd w:id="46"/>
      <w:bookmarkEnd w:id="47"/>
      <w:bookmarkEnd w:id="48"/>
      <w:bookmarkEnd w:id="49"/>
    </w:p>
    <w:p w14:paraId="7084E295">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17.1.</w:t>
      </w:r>
      <w:r>
        <w:rPr>
          <w:rFonts w:hint="eastAsia" w:ascii="宋体" w:hAnsi="宋体" w:eastAsia="宋体"/>
          <w:color w:val="auto"/>
          <w:sz w:val="21"/>
          <w:szCs w:val="21"/>
          <w:highlight w:val="none"/>
          <w:lang w:eastAsia="zh-CN"/>
        </w:rPr>
        <w:t>为方便评标委员会对投标文件进行评审</w:t>
      </w:r>
      <w:r>
        <w:rPr>
          <w:rFonts w:ascii="宋体" w:hAnsi="宋体" w:eastAsia="宋体"/>
          <w:color w:val="auto"/>
          <w:sz w:val="21"/>
          <w:szCs w:val="21"/>
          <w:highlight w:val="none"/>
        </w:rPr>
        <w:t>，</w:t>
      </w:r>
      <w:r>
        <w:rPr>
          <w:rFonts w:hint="eastAsia" w:ascii="宋体" w:hAnsi="宋体" w:eastAsia="宋体"/>
          <w:color w:val="auto"/>
          <w:sz w:val="21"/>
          <w:szCs w:val="21"/>
          <w:highlight w:val="none"/>
          <w:lang w:eastAsia="zh-CN"/>
        </w:rPr>
        <w:t>建议投标人对投标文件进行装订，</w:t>
      </w:r>
      <w:r>
        <w:rPr>
          <w:rFonts w:ascii="宋体" w:hAnsi="宋体" w:eastAsia="宋体"/>
          <w:color w:val="auto"/>
          <w:sz w:val="21"/>
          <w:szCs w:val="21"/>
          <w:highlight w:val="none"/>
        </w:rPr>
        <w:t>对未经装订的投标文件可能发生的文件缺</w:t>
      </w:r>
      <w:r>
        <w:rPr>
          <w:rFonts w:hint="eastAsia" w:ascii="宋体" w:hAnsi="宋体" w:eastAsia="宋体"/>
          <w:color w:val="auto"/>
          <w:sz w:val="21"/>
          <w:szCs w:val="21"/>
          <w:highlight w:val="none"/>
        </w:rPr>
        <w:t>损</w:t>
      </w:r>
      <w:r>
        <w:rPr>
          <w:rFonts w:ascii="宋体" w:hAnsi="宋体" w:eastAsia="宋体"/>
          <w:color w:val="auto"/>
          <w:sz w:val="21"/>
          <w:szCs w:val="21"/>
          <w:highlight w:val="none"/>
        </w:rPr>
        <w:t>，由此产生的后果由投标人承担。</w:t>
      </w:r>
    </w:p>
    <w:p w14:paraId="2EEFAD72">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17.2.</w:t>
      </w:r>
      <w:r>
        <w:rPr>
          <w:rFonts w:ascii="宋体" w:hAnsi="宋体" w:eastAsia="宋体"/>
          <w:color w:val="auto"/>
          <w:sz w:val="21"/>
          <w:szCs w:val="21"/>
          <w:highlight w:val="none"/>
        </w:rPr>
        <w:t>投标文件</w:t>
      </w:r>
      <w:r>
        <w:rPr>
          <w:rFonts w:hint="eastAsia" w:ascii="宋体" w:hAnsi="宋体" w:eastAsia="宋体"/>
          <w:color w:val="auto"/>
          <w:sz w:val="21"/>
          <w:szCs w:val="21"/>
          <w:highlight w:val="none"/>
        </w:rPr>
        <w:t>正本均须用不褪色墨水书写或打印。投标文件的副本可采用投标文件的正本复印件，每套</w:t>
      </w:r>
      <w:r>
        <w:rPr>
          <w:rFonts w:ascii="宋体" w:hAnsi="宋体" w:eastAsia="宋体"/>
          <w:color w:val="auto"/>
          <w:sz w:val="21"/>
          <w:szCs w:val="21"/>
          <w:highlight w:val="none"/>
        </w:rPr>
        <w:t>投标文件</w:t>
      </w:r>
      <w:r>
        <w:rPr>
          <w:rFonts w:hint="eastAsia" w:ascii="宋体" w:hAnsi="宋体" w:eastAsia="宋体"/>
          <w:color w:val="auto"/>
          <w:sz w:val="21"/>
          <w:szCs w:val="21"/>
          <w:highlight w:val="none"/>
        </w:rPr>
        <w:t>应当标</w:t>
      </w:r>
      <w:r>
        <w:rPr>
          <w:rFonts w:ascii="宋体" w:hAnsi="宋体" w:eastAsia="宋体"/>
          <w:color w:val="auto"/>
          <w:sz w:val="21"/>
          <w:szCs w:val="21"/>
          <w:highlight w:val="none"/>
        </w:rPr>
        <w:t>明“正本”</w:t>
      </w:r>
      <w:r>
        <w:rPr>
          <w:rFonts w:hint="eastAsia" w:ascii="宋体" w:hAnsi="宋体" w:eastAsia="宋体"/>
          <w:color w:val="auto"/>
          <w:sz w:val="21"/>
          <w:szCs w:val="21"/>
          <w:highlight w:val="none"/>
        </w:rPr>
        <w:t>、</w:t>
      </w:r>
      <w:r>
        <w:rPr>
          <w:rFonts w:ascii="宋体" w:hAnsi="宋体" w:eastAsia="宋体"/>
          <w:color w:val="auto"/>
          <w:sz w:val="21"/>
          <w:szCs w:val="21"/>
          <w:highlight w:val="none"/>
        </w:rPr>
        <w:t>“副本”</w:t>
      </w:r>
      <w:r>
        <w:rPr>
          <w:rFonts w:hint="eastAsia" w:ascii="宋体" w:hAnsi="宋体" w:eastAsia="宋体"/>
          <w:color w:val="auto"/>
          <w:sz w:val="21"/>
          <w:szCs w:val="21"/>
          <w:highlight w:val="none"/>
        </w:rPr>
        <w:t>的字样</w:t>
      </w:r>
      <w:r>
        <w:rPr>
          <w:rFonts w:ascii="宋体" w:hAnsi="宋体" w:eastAsia="宋体"/>
          <w:color w:val="auto"/>
          <w:sz w:val="21"/>
          <w:szCs w:val="21"/>
          <w:highlight w:val="none"/>
        </w:rPr>
        <w:t>。</w:t>
      </w:r>
      <w:r>
        <w:rPr>
          <w:rFonts w:hint="eastAsia" w:ascii="宋体" w:hAnsi="宋体" w:eastAsia="宋体"/>
          <w:color w:val="auto"/>
          <w:sz w:val="21"/>
          <w:szCs w:val="21"/>
          <w:highlight w:val="none"/>
        </w:rPr>
        <w:t>投标文件的【正本】及所有【副本】的封面及骑缝均须加盖投标人公章（文件每页盖章等同于盖骑缝章）。若</w:t>
      </w:r>
      <w:r>
        <w:rPr>
          <w:rFonts w:ascii="宋体" w:hAnsi="宋体" w:eastAsia="宋体"/>
          <w:color w:val="auto"/>
          <w:sz w:val="21"/>
          <w:szCs w:val="21"/>
          <w:highlight w:val="none"/>
        </w:rPr>
        <w:t>正本</w:t>
      </w:r>
      <w:r>
        <w:rPr>
          <w:rFonts w:hint="eastAsia" w:ascii="宋体" w:hAnsi="宋体" w:eastAsia="宋体"/>
          <w:color w:val="auto"/>
          <w:sz w:val="21"/>
          <w:szCs w:val="21"/>
          <w:highlight w:val="none"/>
        </w:rPr>
        <w:t>与</w:t>
      </w:r>
      <w:r>
        <w:rPr>
          <w:rFonts w:ascii="宋体" w:hAnsi="宋体" w:eastAsia="宋体"/>
          <w:color w:val="auto"/>
          <w:sz w:val="21"/>
          <w:szCs w:val="21"/>
          <w:highlight w:val="none"/>
        </w:rPr>
        <w:t>副本</w:t>
      </w:r>
      <w:r>
        <w:rPr>
          <w:rFonts w:hint="eastAsia" w:ascii="宋体" w:hAnsi="宋体" w:eastAsia="宋体"/>
          <w:color w:val="auto"/>
          <w:sz w:val="21"/>
          <w:szCs w:val="21"/>
          <w:highlight w:val="none"/>
        </w:rPr>
        <w:t>不符，以</w:t>
      </w:r>
      <w:r>
        <w:rPr>
          <w:rFonts w:ascii="宋体" w:hAnsi="宋体" w:eastAsia="宋体"/>
          <w:color w:val="auto"/>
          <w:sz w:val="21"/>
          <w:szCs w:val="21"/>
          <w:highlight w:val="none"/>
        </w:rPr>
        <w:t>正本为准。</w:t>
      </w:r>
    </w:p>
    <w:p w14:paraId="3A98A35A">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17.3.</w:t>
      </w:r>
      <w:r>
        <w:rPr>
          <w:rFonts w:hint="eastAsia" w:ascii="宋体" w:hAnsi="宋体" w:eastAsia="宋体"/>
          <w:color w:val="auto"/>
          <w:sz w:val="21"/>
          <w:szCs w:val="21"/>
          <w:highlight w:val="none"/>
        </w:rPr>
        <w:t>联合体投标文件的【正本】及【副本】的封面及骑缝均须加盖所有联合体组成成员的公章。（文件每页盖章等同于盖骑缝章）如联合体协议中有明确分工说明除外</w:t>
      </w:r>
      <w:r>
        <w:rPr>
          <w:rFonts w:hint="eastAsia" w:ascii="宋体" w:hAnsi="宋体" w:eastAsia="宋体"/>
          <w:color w:val="auto"/>
          <w:sz w:val="21"/>
          <w:szCs w:val="21"/>
          <w:highlight w:val="none"/>
          <w:lang w:eastAsia="zh-CN"/>
        </w:rPr>
        <w:t>。</w:t>
      </w:r>
    </w:p>
    <w:p w14:paraId="396C0AC3">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17.4.</w:t>
      </w:r>
      <w:r>
        <w:rPr>
          <w:rFonts w:hint="eastAsia" w:ascii="宋体" w:hAnsi="宋体" w:eastAsia="宋体"/>
          <w:color w:val="auto"/>
          <w:sz w:val="21"/>
          <w:szCs w:val="21"/>
          <w:highlight w:val="none"/>
          <w:lang w:eastAsia="zh-CN"/>
        </w:rPr>
        <w:t>建议</w:t>
      </w:r>
      <w:r>
        <w:rPr>
          <w:rFonts w:hint="eastAsia" w:ascii="宋体" w:hAnsi="宋体" w:eastAsia="宋体"/>
          <w:color w:val="auto"/>
          <w:sz w:val="21"/>
          <w:szCs w:val="21"/>
          <w:highlight w:val="none"/>
        </w:rPr>
        <w:t>投标人将投标文件正本和所有的副本分开密封装在单独的信封中，且在信封上标明“正本”“副本”字样。然后再将所有信封封装在一个外层信封中</w:t>
      </w:r>
      <w:r>
        <w:rPr>
          <w:rFonts w:hint="eastAsia" w:ascii="宋体" w:hAnsi="宋体" w:eastAsia="宋体"/>
          <w:color w:val="auto"/>
          <w:sz w:val="21"/>
          <w:szCs w:val="21"/>
          <w:highlight w:val="none"/>
          <w:lang w:eastAsia="zh-CN"/>
        </w:rPr>
        <w:t>（“开标文件”除外）</w:t>
      </w:r>
      <w:r>
        <w:rPr>
          <w:rFonts w:hint="eastAsia" w:ascii="宋体" w:hAnsi="宋体" w:eastAsia="宋体"/>
          <w:color w:val="auto"/>
          <w:sz w:val="21"/>
          <w:szCs w:val="21"/>
          <w:highlight w:val="none"/>
        </w:rPr>
        <w:t>。电子文件与正本密封包装，随正本提交。</w:t>
      </w:r>
    </w:p>
    <w:p w14:paraId="61D14044">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17.5.</w:t>
      </w:r>
      <w:r>
        <w:rPr>
          <w:rFonts w:ascii="宋体" w:hAnsi="宋体" w:eastAsia="宋体"/>
          <w:color w:val="auto"/>
          <w:sz w:val="21"/>
          <w:szCs w:val="21"/>
          <w:highlight w:val="none"/>
        </w:rPr>
        <w:t>电子文件内容包括：由投标人自行制作的与正本文件一致的所有文件。电子文件</w:t>
      </w:r>
      <w:r>
        <w:rPr>
          <w:rFonts w:hint="eastAsia" w:ascii="宋体" w:hAnsi="宋体" w:eastAsia="宋体"/>
          <w:color w:val="auto"/>
          <w:sz w:val="21"/>
          <w:szCs w:val="21"/>
          <w:highlight w:val="none"/>
        </w:rPr>
        <w:t>由</w:t>
      </w:r>
      <w:r>
        <w:rPr>
          <w:rFonts w:ascii="宋体" w:hAnsi="宋体" w:eastAsia="宋体"/>
          <w:color w:val="auto"/>
          <w:sz w:val="21"/>
          <w:szCs w:val="21"/>
          <w:highlight w:val="none"/>
        </w:rPr>
        <w:t>光盘</w:t>
      </w:r>
      <w:r>
        <w:rPr>
          <w:rFonts w:hint="eastAsia" w:ascii="宋体" w:hAnsi="宋体" w:eastAsia="宋体"/>
          <w:color w:val="auto"/>
          <w:sz w:val="21"/>
          <w:szCs w:val="21"/>
          <w:highlight w:val="none"/>
        </w:rPr>
        <w:t>或U盘</w:t>
      </w:r>
      <w:r>
        <w:rPr>
          <w:rFonts w:ascii="宋体" w:hAnsi="宋体" w:eastAsia="宋体"/>
          <w:color w:val="auto"/>
          <w:sz w:val="21"/>
          <w:szCs w:val="21"/>
          <w:highlight w:val="none"/>
        </w:rPr>
        <w:t>储存</w:t>
      </w:r>
      <w:r>
        <w:rPr>
          <w:rFonts w:hint="eastAsia" w:ascii="宋体" w:hAnsi="宋体" w:eastAsia="宋体"/>
          <w:color w:val="auto"/>
          <w:sz w:val="21"/>
          <w:szCs w:val="21"/>
          <w:highlight w:val="none"/>
          <w:lang w:eastAsia="zh-CN"/>
        </w:rPr>
        <w:t>（须含盖章版PDF投标文件和WORD版投标文件各一版，文字采用WORD文档，计算表格采用 EXCEL文档）</w:t>
      </w:r>
      <w:r>
        <w:rPr>
          <w:rFonts w:hint="eastAsia" w:ascii="宋体" w:hAnsi="宋体" w:eastAsia="宋体"/>
          <w:color w:val="auto"/>
          <w:sz w:val="21"/>
          <w:szCs w:val="21"/>
          <w:highlight w:val="none"/>
        </w:rPr>
        <w:t>，并注明投标人名称及项目名称、采购项目编号，随投标文件一同密封提交。</w:t>
      </w:r>
    </w:p>
    <w:p w14:paraId="420D7D4E">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17.6.</w:t>
      </w:r>
      <w:r>
        <w:rPr>
          <w:rFonts w:ascii="宋体" w:hAnsi="宋体" w:eastAsia="宋体"/>
          <w:color w:val="auto"/>
          <w:sz w:val="21"/>
          <w:szCs w:val="21"/>
          <w:highlight w:val="none"/>
        </w:rPr>
        <w:t>除投标人对错误处修改外，全套投标文件应无涂改或行间插字和增删。如有修改，修改处</w:t>
      </w:r>
      <w:r>
        <w:rPr>
          <w:rFonts w:hint="eastAsia" w:ascii="宋体" w:hAnsi="宋体" w:eastAsia="宋体"/>
          <w:color w:val="auto"/>
          <w:sz w:val="21"/>
          <w:szCs w:val="21"/>
          <w:highlight w:val="none"/>
        </w:rPr>
        <w:t>须由法定代表人或其正式授权代表在旁边签字及盖章</w:t>
      </w:r>
      <w:r>
        <w:rPr>
          <w:rFonts w:ascii="宋体" w:hAnsi="宋体" w:eastAsia="宋体"/>
          <w:color w:val="auto"/>
          <w:sz w:val="21"/>
          <w:szCs w:val="21"/>
          <w:highlight w:val="none"/>
        </w:rPr>
        <w:t>。</w:t>
      </w:r>
    </w:p>
    <w:p w14:paraId="6CD0655E">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17.7.</w:t>
      </w:r>
      <w:r>
        <w:rPr>
          <w:rFonts w:hint="eastAsia" w:ascii="宋体" w:hAnsi="宋体" w:eastAsia="宋体"/>
          <w:color w:val="auto"/>
          <w:sz w:val="21"/>
          <w:szCs w:val="21"/>
          <w:highlight w:val="none"/>
        </w:rPr>
        <w:t>投标人应将开标一览表、法人代表证明书、法定代表人授权书（法人投标无需提交授权书）单独密封提交，并在信封上标明“开标文件”字样。“开标文件”份数及签章等要求与投标文件正本相同（1份）。</w:t>
      </w:r>
    </w:p>
    <w:p w14:paraId="18F349F2">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17.8.</w:t>
      </w:r>
      <w:r>
        <w:rPr>
          <w:rFonts w:hint="eastAsia" w:ascii="宋体" w:hAnsi="宋体" w:eastAsia="宋体"/>
          <w:color w:val="auto"/>
          <w:sz w:val="21"/>
          <w:szCs w:val="21"/>
          <w:highlight w:val="none"/>
          <w:lang w:eastAsia="zh-CN"/>
        </w:rPr>
        <w:t>供应商未提交</w:t>
      </w:r>
      <w:r>
        <w:rPr>
          <w:rFonts w:hint="eastAsia" w:ascii="宋体" w:hAnsi="宋体" w:eastAsia="宋体"/>
          <w:color w:val="auto"/>
          <w:sz w:val="21"/>
          <w:szCs w:val="21"/>
          <w:highlight w:val="none"/>
        </w:rPr>
        <w:t>“开标文件”</w:t>
      </w:r>
      <w:r>
        <w:rPr>
          <w:rFonts w:hint="eastAsia" w:ascii="宋体" w:hAnsi="宋体" w:eastAsia="宋体"/>
          <w:color w:val="auto"/>
          <w:sz w:val="21"/>
          <w:szCs w:val="21"/>
          <w:highlight w:val="none"/>
          <w:lang w:eastAsia="zh-CN"/>
        </w:rPr>
        <w:t>或</w:t>
      </w:r>
      <w:r>
        <w:rPr>
          <w:rFonts w:hint="eastAsia" w:ascii="宋体" w:hAnsi="宋体" w:eastAsia="宋体"/>
          <w:color w:val="auto"/>
          <w:sz w:val="21"/>
          <w:szCs w:val="21"/>
          <w:highlight w:val="none"/>
        </w:rPr>
        <w:t>“开标文件”</w:t>
      </w:r>
      <w:r>
        <w:rPr>
          <w:rFonts w:hint="eastAsia" w:ascii="宋体" w:hAnsi="宋体" w:eastAsia="宋体"/>
          <w:color w:val="auto"/>
          <w:sz w:val="21"/>
          <w:szCs w:val="21"/>
          <w:highlight w:val="none"/>
          <w:lang w:eastAsia="zh-CN"/>
        </w:rPr>
        <w:t>中无“开标一览表”的，报价以投标文件正本为准。</w:t>
      </w:r>
    </w:p>
    <w:p w14:paraId="0ADC288C">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17.9.</w:t>
      </w:r>
      <w:r>
        <w:rPr>
          <w:rFonts w:hint="eastAsia" w:ascii="宋体" w:hAnsi="宋体" w:eastAsia="宋体"/>
          <w:color w:val="auto"/>
          <w:sz w:val="21"/>
          <w:szCs w:val="21"/>
          <w:highlight w:val="none"/>
        </w:rPr>
        <w:t xml:space="preserve">所有的信封均应注明： </w:t>
      </w:r>
    </w:p>
    <w:p w14:paraId="1448DDC2">
      <w:pPr>
        <w:pageBreakBefore w:val="0"/>
        <w:widowControl w:val="0"/>
        <w:numPr>
          <w:ilvl w:val="0"/>
          <w:numId w:val="3"/>
        </w:numPr>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收件人：三方诚信招标有限公司东莞分公司</w:t>
      </w:r>
    </w:p>
    <w:p w14:paraId="4CEFC65B">
      <w:pPr>
        <w:pageBreakBefore w:val="0"/>
        <w:widowControl w:val="0"/>
        <w:numPr>
          <w:ilvl w:val="0"/>
          <w:numId w:val="3"/>
        </w:numPr>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投标单位名称：</w:t>
      </w:r>
    </w:p>
    <w:p w14:paraId="6EE89177">
      <w:pPr>
        <w:pageBreakBefore w:val="0"/>
        <w:widowControl w:val="0"/>
        <w:numPr>
          <w:ilvl w:val="0"/>
          <w:numId w:val="3"/>
        </w:numPr>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p w14:paraId="4023B84E">
      <w:pPr>
        <w:pageBreakBefore w:val="0"/>
        <w:widowControl w:val="0"/>
        <w:numPr>
          <w:ilvl w:val="0"/>
          <w:numId w:val="3"/>
        </w:numPr>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采购项目编号：</w:t>
      </w:r>
    </w:p>
    <w:p w14:paraId="13BE7A47">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17.10.</w:t>
      </w:r>
      <w:r>
        <w:rPr>
          <w:rFonts w:hint="eastAsia" w:ascii="宋体" w:hAnsi="宋体" w:eastAsia="宋体"/>
          <w:color w:val="auto"/>
          <w:sz w:val="21"/>
          <w:szCs w:val="21"/>
          <w:highlight w:val="none"/>
          <w:lang w:eastAsia="zh-CN"/>
        </w:rPr>
        <w:t>采购代理机构将拒绝接收出现以下情况的投标文件：</w:t>
      </w:r>
    </w:p>
    <w:p w14:paraId="1BBB2064">
      <w:pPr>
        <w:pageBreakBefore w:val="0"/>
        <w:widowControl w:val="0"/>
        <w:numPr>
          <w:ilvl w:val="0"/>
          <w:numId w:val="4"/>
        </w:numPr>
        <w:kinsoku/>
        <w:wordWrap/>
        <w:topLinePunct w:val="0"/>
        <w:autoSpaceDE/>
        <w:autoSpaceDN/>
        <w:bidi w:val="0"/>
        <w:adjustRightInd/>
        <w:snapToGrid/>
        <w:spacing w:after="0" w:line="400" w:lineRule="exact"/>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采用透明包装进行密封或未进行密封的投标文件；</w:t>
      </w:r>
    </w:p>
    <w:p w14:paraId="3EFF7363">
      <w:pPr>
        <w:pageBreakBefore w:val="0"/>
        <w:widowControl w:val="0"/>
        <w:numPr>
          <w:ilvl w:val="0"/>
          <w:numId w:val="4"/>
        </w:numPr>
        <w:kinsoku/>
        <w:wordWrap/>
        <w:topLinePunct w:val="0"/>
        <w:autoSpaceDE/>
        <w:autoSpaceDN/>
        <w:bidi w:val="0"/>
        <w:adjustRightInd/>
        <w:snapToGrid/>
        <w:spacing w:after="0" w:line="400" w:lineRule="exact"/>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密封破损导致投标文件内容直接或间接泄露的投标文件；</w:t>
      </w:r>
    </w:p>
    <w:p w14:paraId="7F4FD967">
      <w:pPr>
        <w:pageBreakBefore w:val="0"/>
        <w:widowControl w:val="0"/>
        <w:numPr>
          <w:ilvl w:val="0"/>
          <w:numId w:val="4"/>
        </w:numPr>
        <w:kinsoku/>
        <w:wordWrap/>
        <w:topLinePunct w:val="0"/>
        <w:autoSpaceDE/>
        <w:autoSpaceDN/>
        <w:bidi w:val="0"/>
        <w:adjustRightInd/>
        <w:snapToGrid/>
        <w:spacing w:after="0" w:line="400" w:lineRule="exact"/>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密封信封上项目编号错误的投标文件；</w:t>
      </w:r>
    </w:p>
    <w:p w14:paraId="05D5D275">
      <w:pPr>
        <w:pageBreakBefore w:val="0"/>
        <w:widowControl w:val="0"/>
        <w:numPr>
          <w:ilvl w:val="0"/>
          <w:numId w:val="4"/>
        </w:numPr>
        <w:kinsoku/>
        <w:wordWrap/>
        <w:topLinePunct w:val="0"/>
        <w:autoSpaceDE/>
        <w:autoSpaceDN/>
        <w:bidi w:val="0"/>
        <w:adjustRightInd/>
        <w:snapToGrid/>
        <w:spacing w:after="0" w:line="400" w:lineRule="exact"/>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未在规定时间内领购文件的投标人的投标文件；</w:t>
      </w:r>
    </w:p>
    <w:p w14:paraId="3F2C96BB">
      <w:pPr>
        <w:pageBreakBefore w:val="0"/>
        <w:widowControl w:val="0"/>
        <w:numPr>
          <w:ilvl w:val="0"/>
          <w:numId w:val="4"/>
        </w:numPr>
        <w:kinsoku/>
        <w:wordWrap/>
        <w:topLinePunct w:val="0"/>
        <w:autoSpaceDE/>
        <w:autoSpaceDN/>
        <w:bidi w:val="0"/>
        <w:adjustRightInd/>
        <w:snapToGrid/>
        <w:spacing w:after="0" w:line="400" w:lineRule="exact"/>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项目名称出现严重歧义或未标注所投项目信息导致无法分辨所投项目为本项目的投标文件；</w:t>
      </w:r>
    </w:p>
    <w:p w14:paraId="4A4C9BC0">
      <w:pPr>
        <w:pageBreakBefore w:val="0"/>
        <w:widowControl w:val="0"/>
        <w:numPr>
          <w:ilvl w:val="0"/>
          <w:numId w:val="4"/>
        </w:numPr>
        <w:kinsoku/>
        <w:wordWrap/>
        <w:topLinePunct w:val="0"/>
        <w:autoSpaceDE/>
        <w:autoSpaceDN/>
        <w:bidi w:val="0"/>
        <w:adjustRightInd/>
        <w:snapToGrid/>
        <w:spacing w:after="0" w:line="400" w:lineRule="exact"/>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采用传真、电传的投标文件；</w:t>
      </w:r>
    </w:p>
    <w:p w14:paraId="27FF7430">
      <w:pPr>
        <w:pageBreakBefore w:val="0"/>
        <w:widowControl w:val="0"/>
        <w:numPr>
          <w:ilvl w:val="0"/>
          <w:numId w:val="4"/>
        </w:numPr>
        <w:kinsoku/>
        <w:wordWrap/>
        <w:topLinePunct w:val="0"/>
        <w:autoSpaceDE/>
        <w:autoSpaceDN/>
        <w:bidi w:val="0"/>
        <w:adjustRightInd/>
        <w:snapToGrid/>
        <w:spacing w:after="0" w:line="400" w:lineRule="exact"/>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招标文件规定的其他情形。</w:t>
      </w:r>
    </w:p>
    <w:p w14:paraId="307842A4">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17.11.</w:t>
      </w:r>
      <w:r>
        <w:rPr>
          <w:rFonts w:hint="eastAsia" w:ascii="宋体" w:hAnsi="宋体" w:eastAsia="宋体"/>
          <w:color w:val="auto"/>
          <w:sz w:val="21"/>
          <w:szCs w:val="21"/>
          <w:highlight w:val="none"/>
        </w:rPr>
        <w:t>采购代理机构对所有投标文件的误投或提前启封概不负责。</w:t>
      </w:r>
    </w:p>
    <w:p w14:paraId="48D6A98C">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17.12.</w:t>
      </w:r>
      <w:r>
        <w:rPr>
          <w:rFonts w:hint="eastAsia" w:ascii="宋体" w:hAnsi="宋体" w:eastAsia="宋体"/>
          <w:color w:val="auto"/>
          <w:sz w:val="21"/>
          <w:szCs w:val="21"/>
          <w:highlight w:val="none"/>
        </w:rPr>
        <w:t>投标人同时参加几个包投标时必须按招标文件要求按包号分别制作投标文件，分别密封递交。</w:t>
      </w:r>
    </w:p>
    <w:p w14:paraId="79C865C1">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17.13.</w:t>
      </w:r>
      <w:r>
        <w:rPr>
          <w:rFonts w:hint="eastAsia" w:ascii="宋体" w:hAnsi="宋体" w:eastAsia="宋体"/>
          <w:color w:val="auto"/>
          <w:sz w:val="21"/>
          <w:szCs w:val="21"/>
          <w:highlight w:val="none"/>
        </w:rPr>
        <w:t>递交的投标文件中所提供的通讯方式应保持联络畅通，因联系不上而导致的所有后果由投标人自行承担。</w:t>
      </w:r>
    </w:p>
    <w:p w14:paraId="09C0CFA9">
      <w:pPr>
        <w:pageBreakBefore w:val="0"/>
        <w:kinsoku/>
        <w:wordWrap/>
        <w:topLinePunct w:val="0"/>
        <w:autoSpaceDE/>
        <w:autoSpaceDN/>
        <w:bidi w:val="0"/>
        <w:spacing w:line="400" w:lineRule="exact"/>
        <w:textAlignment w:val="auto"/>
        <w:rPr>
          <w:color w:val="auto"/>
          <w:highlight w:val="none"/>
        </w:rPr>
      </w:pPr>
    </w:p>
    <w:p w14:paraId="0B5BAA93">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50" w:name="_Toc30088"/>
      <w:r>
        <w:rPr>
          <w:rFonts w:hint="eastAsia" w:ascii="宋体" w:hAnsi="宋体" w:eastAsia="宋体"/>
          <w:color w:val="auto"/>
          <w:sz w:val="21"/>
          <w:szCs w:val="21"/>
          <w:highlight w:val="none"/>
        </w:rPr>
        <w:t>18.迟交的投标文件</w:t>
      </w:r>
      <w:bookmarkEnd w:id="50"/>
    </w:p>
    <w:p w14:paraId="690FAEB9">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18.1.</w:t>
      </w:r>
      <w:r>
        <w:rPr>
          <w:rFonts w:hint="eastAsia" w:ascii="宋体" w:hAnsi="宋体" w:eastAsia="宋体"/>
          <w:color w:val="auto"/>
          <w:sz w:val="21"/>
          <w:szCs w:val="21"/>
          <w:highlight w:val="none"/>
        </w:rPr>
        <w:t>投标人在投标截止时间之后提交的投标文件，采购代理机构将拒绝接收</w:t>
      </w:r>
      <w:r>
        <w:rPr>
          <w:rFonts w:ascii="宋体" w:hAnsi="宋体" w:eastAsia="宋体"/>
          <w:color w:val="auto"/>
          <w:sz w:val="21"/>
          <w:szCs w:val="21"/>
          <w:highlight w:val="none"/>
        </w:rPr>
        <w:t>。</w:t>
      </w:r>
    </w:p>
    <w:p w14:paraId="4B646C35">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18.2.</w:t>
      </w:r>
      <w:r>
        <w:rPr>
          <w:rFonts w:hint="eastAsia" w:ascii="宋体" w:hAnsi="宋体" w:eastAsia="宋体"/>
          <w:color w:val="auto"/>
          <w:sz w:val="21"/>
          <w:szCs w:val="21"/>
          <w:highlight w:val="none"/>
        </w:rPr>
        <w:t>有违反其他法律规定情形的，采购代理机构将拒绝接收。</w:t>
      </w:r>
    </w:p>
    <w:p w14:paraId="5BFF05D2">
      <w:pPr>
        <w:pageBreakBefore w:val="0"/>
        <w:kinsoku/>
        <w:wordWrap/>
        <w:topLinePunct w:val="0"/>
        <w:autoSpaceDE/>
        <w:autoSpaceDN/>
        <w:bidi w:val="0"/>
        <w:spacing w:line="400" w:lineRule="exact"/>
        <w:textAlignment w:val="auto"/>
        <w:rPr>
          <w:color w:val="auto"/>
          <w:highlight w:val="none"/>
        </w:rPr>
      </w:pPr>
    </w:p>
    <w:p w14:paraId="68027EAA">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51" w:name="_Toc15912"/>
      <w:r>
        <w:rPr>
          <w:rFonts w:hint="eastAsia" w:ascii="宋体" w:hAnsi="宋体" w:eastAsia="宋体"/>
          <w:color w:val="auto"/>
          <w:sz w:val="21"/>
          <w:szCs w:val="21"/>
          <w:highlight w:val="none"/>
        </w:rPr>
        <w:t>19.投标样品</w:t>
      </w:r>
      <w:r>
        <w:rPr>
          <w:rFonts w:hint="eastAsia" w:ascii="宋体" w:hAnsi="宋体" w:eastAsia="宋体"/>
          <w:color w:val="auto"/>
          <w:sz w:val="21"/>
          <w:szCs w:val="21"/>
          <w:highlight w:val="none"/>
          <w:lang w:eastAsia="zh-CN"/>
        </w:rPr>
        <w:t>、投标演示</w:t>
      </w:r>
      <w:r>
        <w:rPr>
          <w:rFonts w:hint="eastAsia" w:ascii="宋体" w:hAnsi="宋体" w:eastAsia="宋体"/>
          <w:color w:val="auto"/>
          <w:sz w:val="21"/>
          <w:szCs w:val="21"/>
          <w:highlight w:val="none"/>
        </w:rPr>
        <w:t>（如</w:t>
      </w:r>
      <w:r>
        <w:rPr>
          <w:rFonts w:hint="eastAsia" w:ascii="宋体" w:hAnsi="宋体" w:eastAsia="宋体"/>
          <w:color w:val="auto"/>
          <w:sz w:val="21"/>
          <w:szCs w:val="21"/>
          <w:highlight w:val="none"/>
          <w:lang w:eastAsia="zh-CN"/>
        </w:rPr>
        <w:t>有要求</w:t>
      </w:r>
      <w:r>
        <w:rPr>
          <w:rFonts w:hint="eastAsia" w:ascii="宋体" w:hAnsi="宋体" w:eastAsia="宋体"/>
          <w:color w:val="auto"/>
          <w:sz w:val="21"/>
          <w:szCs w:val="21"/>
          <w:highlight w:val="none"/>
        </w:rPr>
        <w:t>）</w:t>
      </w:r>
      <w:bookmarkEnd w:id="51"/>
    </w:p>
    <w:p w14:paraId="0E17A46D">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19.1.</w:t>
      </w:r>
      <w:r>
        <w:rPr>
          <w:rFonts w:hint="eastAsia" w:ascii="宋体" w:hAnsi="宋体" w:eastAsia="宋体"/>
          <w:color w:val="auto"/>
          <w:sz w:val="21"/>
          <w:szCs w:val="21"/>
          <w:highlight w:val="none"/>
        </w:rPr>
        <w:t>如有必要，采购代理机构可以要求投标人提供本服务项目涉及的部分设备或产品样品，投标人在投标时应提交《样品清单》。</w:t>
      </w:r>
    </w:p>
    <w:p w14:paraId="71CA7360">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19.2.</w:t>
      </w:r>
      <w:r>
        <w:rPr>
          <w:rFonts w:hint="eastAsia" w:ascii="宋体" w:hAnsi="宋体" w:eastAsia="宋体"/>
          <w:color w:val="auto"/>
          <w:sz w:val="21"/>
          <w:szCs w:val="21"/>
          <w:highlight w:val="none"/>
        </w:rPr>
        <w:t>为方便评标，投标人在提供样品时，应在所提供的样品表面显著位置标注投标人的名称、包号、样品名称、招标文件规定的服务或货物编号。</w:t>
      </w:r>
    </w:p>
    <w:p w14:paraId="231C00F7">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19.3.</w:t>
      </w:r>
      <w:r>
        <w:rPr>
          <w:rFonts w:hint="eastAsia" w:ascii="宋体" w:hAnsi="宋体" w:eastAsia="宋体"/>
          <w:color w:val="auto"/>
          <w:sz w:val="21"/>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1F6A5EF1">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hint="default" w:ascii="宋体" w:hAnsi="宋体" w:eastAsia="宋体"/>
          <w:color w:val="auto"/>
          <w:sz w:val="21"/>
          <w:szCs w:val="21"/>
          <w:highlight w:val="none"/>
          <w:lang w:val="en-US" w:eastAsia="zh-CN"/>
        </w:rPr>
      </w:pPr>
      <w:r>
        <w:rPr>
          <w:rFonts w:hint="eastAsia" w:ascii="宋体" w:hAnsi="宋体" w:eastAsia="宋体" w:cstheme="minorBidi"/>
          <w:color w:val="auto"/>
          <w:sz w:val="21"/>
          <w:szCs w:val="21"/>
          <w:highlight w:val="none"/>
          <w:lang w:val="en-US" w:eastAsia="zh-CN" w:bidi="ar-SA"/>
        </w:rPr>
        <w:t>19.4.</w:t>
      </w:r>
      <w:r>
        <w:rPr>
          <w:rFonts w:hint="eastAsia" w:ascii="宋体" w:hAnsi="宋体" w:eastAsia="宋体"/>
          <w:color w:val="auto"/>
          <w:sz w:val="21"/>
          <w:szCs w:val="21"/>
          <w:highlight w:val="none"/>
          <w:lang w:val="en-US" w:eastAsia="zh-CN"/>
        </w:rPr>
        <w:t>如有要求投标人视频演示环节，投标人将需要演示的内容以视频录制展示的形式完成，视频用U盘储存，并作为投标文件的组成部分，标注投标人的名称、项目名称、项目编号、项目包号加以盖章并密封提交。演示全程由采购人或采购单位操作完成。</w:t>
      </w:r>
    </w:p>
    <w:p w14:paraId="19EB7DE6">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lang w:val="en-US" w:eastAsia="zh-CN"/>
        </w:rPr>
      </w:pPr>
      <w:r>
        <w:rPr>
          <w:rFonts w:hint="eastAsia" w:ascii="宋体" w:hAnsi="宋体" w:eastAsia="宋体" w:cstheme="minorBidi"/>
          <w:color w:val="auto"/>
          <w:sz w:val="21"/>
          <w:szCs w:val="21"/>
          <w:highlight w:val="none"/>
          <w:lang w:val="en-US" w:eastAsia="zh-CN" w:bidi="ar-SA"/>
        </w:rPr>
        <w:t>19.5.</w:t>
      </w:r>
      <w:r>
        <w:rPr>
          <w:rFonts w:hint="eastAsia" w:ascii="宋体" w:hAnsi="宋体" w:eastAsia="宋体"/>
          <w:color w:val="auto"/>
          <w:sz w:val="21"/>
          <w:szCs w:val="21"/>
          <w:highlight w:val="none"/>
          <w:lang w:val="en-US" w:eastAsia="zh-CN"/>
        </w:rPr>
        <w:t>如有要求投标人现场演示环节，演示现场提供投影仪及电脑，所需的网络环境及设备全部由投标人自行解决。除非另有说明，投标人不得派超过2名工作人员进场演示。演示过程不设置问答环节。</w:t>
      </w:r>
    </w:p>
    <w:p w14:paraId="51CB6FDA">
      <w:pPr>
        <w:pageBreakBefore w:val="0"/>
        <w:kinsoku/>
        <w:topLinePunct w:val="0"/>
        <w:autoSpaceDE/>
        <w:autoSpaceDN/>
        <w:bidi w:val="0"/>
        <w:spacing w:line="360" w:lineRule="auto"/>
        <w:rPr>
          <w:color w:val="auto"/>
          <w:highlight w:val="none"/>
        </w:rPr>
      </w:pPr>
    </w:p>
    <w:p w14:paraId="2EB20255">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52" w:name="_Toc382049112"/>
      <w:bookmarkStart w:id="53" w:name="_Toc303084265"/>
      <w:bookmarkStart w:id="54" w:name="_Toc9777"/>
      <w:bookmarkStart w:id="55" w:name="_Toc28098"/>
      <w:r>
        <w:rPr>
          <w:rFonts w:hint="eastAsia" w:ascii="宋体" w:hAnsi="宋体" w:eastAsia="宋体"/>
          <w:color w:val="auto"/>
          <w:sz w:val="21"/>
          <w:szCs w:val="21"/>
          <w:highlight w:val="none"/>
        </w:rPr>
        <w:t>20.投标截止期</w:t>
      </w:r>
      <w:bookmarkEnd w:id="52"/>
      <w:bookmarkEnd w:id="53"/>
      <w:bookmarkEnd w:id="54"/>
      <w:bookmarkEnd w:id="55"/>
    </w:p>
    <w:p w14:paraId="2B665710">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20.1.</w:t>
      </w:r>
      <w:r>
        <w:rPr>
          <w:rFonts w:hint="eastAsia" w:ascii="宋体" w:hAnsi="宋体" w:eastAsia="宋体"/>
          <w:color w:val="auto"/>
          <w:sz w:val="21"/>
          <w:szCs w:val="21"/>
          <w:highlight w:val="none"/>
        </w:rPr>
        <w:t>投标人应在招标文件规定的截止日期和时间内，将投标文件送达到指定地点。</w:t>
      </w:r>
    </w:p>
    <w:p w14:paraId="2F8946C0">
      <w:pPr>
        <w:pageBreakBefore w:val="0"/>
        <w:kinsoku/>
        <w:wordWrap/>
        <w:topLinePunct w:val="0"/>
        <w:autoSpaceDE/>
        <w:autoSpaceDN/>
        <w:bidi w:val="0"/>
        <w:spacing w:line="400" w:lineRule="exact"/>
        <w:textAlignment w:val="auto"/>
        <w:rPr>
          <w:color w:val="auto"/>
          <w:highlight w:val="none"/>
        </w:rPr>
      </w:pPr>
    </w:p>
    <w:p w14:paraId="665FCF64">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56" w:name="_Toc22260"/>
      <w:r>
        <w:rPr>
          <w:rFonts w:hint="eastAsia" w:ascii="宋体" w:hAnsi="宋体" w:eastAsia="宋体"/>
          <w:color w:val="auto"/>
          <w:sz w:val="21"/>
          <w:szCs w:val="21"/>
          <w:highlight w:val="none"/>
        </w:rPr>
        <w:t>21.投标文件的补充、修改与撤回</w:t>
      </w:r>
      <w:bookmarkEnd w:id="56"/>
    </w:p>
    <w:p w14:paraId="42A56B38">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21.1.</w:t>
      </w:r>
      <w:r>
        <w:rPr>
          <w:rFonts w:hint="eastAsia" w:ascii="宋体" w:hAnsi="宋体" w:eastAsia="宋体"/>
          <w:color w:val="auto"/>
          <w:sz w:val="21"/>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6C2D84A3">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21.2.</w:t>
      </w:r>
      <w:r>
        <w:rPr>
          <w:rFonts w:hint="eastAsia" w:ascii="宋体" w:hAnsi="宋体" w:eastAsia="宋体"/>
          <w:color w:val="auto"/>
          <w:sz w:val="21"/>
          <w:szCs w:val="21"/>
          <w:highlight w:val="none"/>
        </w:rPr>
        <w:t>投标人对投标文件的补充、修改的内容应当按招标文件要求的签署、盖章、密封后，作为投标文件的组成部分。并按照招标文件规定密封和标记的要求提交，并在投标文件密封袋上标明“补充、修改”字样。</w:t>
      </w:r>
    </w:p>
    <w:p w14:paraId="76F59A8F">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21.3.</w:t>
      </w:r>
      <w:r>
        <w:rPr>
          <w:rFonts w:hint="eastAsia" w:ascii="宋体" w:hAnsi="宋体" w:eastAsia="宋体"/>
          <w:color w:val="auto"/>
          <w:sz w:val="21"/>
          <w:szCs w:val="21"/>
          <w:highlight w:val="none"/>
        </w:rPr>
        <w:t>投标文件一经递交不予退还。</w:t>
      </w:r>
    </w:p>
    <w:p w14:paraId="3CB454DF">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21.4.</w:t>
      </w:r>
      <w:r>
        <w:rPr>
          <w:rFonts w:hint="eastAsia" w:ascii="宋体" w:hAnsi="宋体" w:eastAsia="宋体"/>
          <w:color w:val="auto"/>
          <w:sz w:val="21"/>
          <w:szCs w:val="21"/>
          <w:highlight w:val="none"/>
        </w:rPr>
        <w:t>在提交投标文件截止时间至投标有效期满之前，投标人不得撤回其投标，否则其投标保证金将不予退还。</w:t>
      </w:r>
    </w:p>
    <w:p w14:paraId="0368CFDA">
      <w:pPr>
        <w:pStyle w:val="7"/>
        <w:pageBreakBefore w:val="0"/>
        <w:kinsoku/>
        <w:topLinePunct w:val="0"/>
        <w:autoSpaceDE/>
        <w:autoSpaceDN/>
        <w:bidi w:val="0"/>
        <w:spacing w:line="360" w:lineRule="auto"/>
        <w:rPr>
          <w:color w:val="auto"/>
          <w:highlight w:val="none"/>
        </w:rPr>
      </w:pPr>
    </w:p>
    <w:p w14:paraId="4A0AE8F7">
      <w:pPr>
        <w:pStyle w:val="4"/>
        <w:keepNext/>
        <w:keepLines/>
        <w:pageBreakBefore w:val="0"/>
        <w:widowControl/>
        <w:numPr>
          <w:ilvl w:val="0"/>
          <w:numId w:val="2"/>
        </w:numPr>
        <w:kinsoku/>
        <w:wordWrap/>
        <w:overflowPunct/>
        <w:topLinePunct w:val="0"/>
        <w:autoSpaceDE/>
        <w:autoSpaceDN/>
        <w:bidi w:val="0"/>
        <w:adjustRightInd w:val="0"/>
        <w:snapToGrid w:val="0"/>
        <w:spacing w:before="0" w:after="0" w:line="360" w:lineRule="auto"/>
        <w:ind w:left="0" w:firstLine="0"/>
        <w:jc w:val="center"/>
        <w:textAlignment w:val="auto"/>
        <w:rPr>
          <w:rFonts w:ascii="宋体" w:hAnsi="宋体" w:eastAsia="宋体"/>
          <w:color w:val="auto"/>
          <w:highlight w:val="none"/>
        </w:rPr>
      </w:pPr>
      <w:bookmarkStart w:id="57" w:name="_Toc13835"/>
      <w:r>
        <w:rPr>
          <w:rFonts w:hint="eastAsia" w:ascii="宋体" w:hAnsi="宋体" w:eastAsia="宋体"/>
          <w:color w:val="auto"/>
          <w:highlight w:val="none"/>
        </w:rPr>
        <w:t>开标与评标</w:t>
      </w:r>
      <w:bookmarkEnd w:id="57"/>
    </w:p>
    <w:p w14:paraId="65BA2680">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58" w:name="_Toc174"/>
      <w:r>
        <w:rPr>
          <w:rFonts w:hint="eastAsia" w:ascii="宋体" w:hAnsi="宋体" w:eastAsia="宋体"/>
          <w:color w:val="auto"/>
          <w:sz w:val="21"/>
          <w:szCs w:val="21"/>
          <w:highlight w:val="none"/>
        </w:rPr>
        <w:t>22.开标</w:t>
      </w:r>
      <w:bookmarkEnd w:id="58"/>
    </w:p>
    <w:p w14:paraId="32622AF5">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22.1.</w:t>
      </w:r>
      <w:r>
        <w:rPr>
          <w:rFonts w:hint="eastAsia" w:ascii="宋体" w:hAnsi="宋体" w:eastAsia="宋体"/>
          <w:color w:val="auto"/>
          <w:sz w:val="21"/>
          <w:szCs w:val="21"/>
          <w:highlight w:val="none"/>
        </w:rPr>
        <w:t>采购代理机构按</w:t>
      </w:r>
      <w:r>
        <w:rPr>
          <w:rFonts w:ascii="宋体" w:hAnsi="宋体" w:eastAsia="宋体"/>
          <w:color w:val="auto"/>
          <w:sz w:val="21"/>
          <w:szCs w:val="21"/>
          <w:highlight w:val="none"/>
        </w:rPr>
        <w:t>本</w:t>
      </w:r>
      <w:r>
        <w:rPr>
          <w:rFonts w:hint="eastAsia" w:ascii="宋体" w:hAnsi="宋体" w:eastAsia="宋体"/>
          <w:color w:val="auto"/>
          <w:sz w:val="21"/>
          <w:szCs w:val="21"/>
          <w:highlight w:val="none"/>
        </w:rPr>
        <w:t>招标文件</w:t>
      </w:r>
      <w:r>
        <w:rPr>
          <w:rFonts w:ascii="宋体" w:hAnsi="宋体" w:eastAsia="宋体"/>
          <w:color w:val="auto"/>
          <w:sz w:val="21"/>
          <w:szCs w:val="21"/>
          <w:highlight w:val="none"/>
        </w:rPr>
        <w:t>所规定的时间和地点公开开标，并邀请所有投标人</w:t>
      </w:r>
      <w:r>
        <w:rPr>
          <w:rFonts w:hint="eastAsia" w:ascii="宋体" w:hAnsi="宋体" w:eastAsia="宋体"/>
          <w:color w:val="auto"/>
          <w:sz w:val="21"/>
          <w:szCs w:val="21"/>
          <w:highlight w:val="none"/>
        </w:rPr>
        <w:t>代表</w:t>
      </w:r>
      <w:r>
        <w:rPr>
          <w:rFonts w:ascii="宋体" w:hAnsi="宋体" w:eastAsia="宋体"/>
          <w:color w:val="auto"/>
          <w:sz w:val="21"/>
          <w:szCs w:val="21"/>
          <w:highlight w:val="none"/>
        </w:rPr>
        <w:t>参加。</w:t>
      </w:r>
    </w:p>
    <w:p w14:paraId="3827430B">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22.2.</w:t>
      </w:r>
      <w:r>
        <w:rPr>
          <w:rFonts w:ascii="宋体" w:hAnsi="宋体" w:eastAsia="宋体"/>
          <w:color w:val="auto"/>
          <w:sz w:val="21"/>
          <w:szCs w:val="21"/>
          <w:highlight w:val="none"/>
        </w:rPr>
        <w:t>开标程序：</w:t>
      </w:r>
    </w:p>
    <w:p w14:paraId="2E351860">
      <w:pPr>
        <w:pageBreakBefore w:val="0"/>
        <w:widowControl w:val="0"/>
        <w:numPr>
          <w:ilvl w:val="2"/>
          <w:numId w:val="0"/>
        </w:numPr>
        <w:tabs>
          <w:tab w:val="left" w:pos="567"/>
        </w:tabs>
        <w:kinsoku/>
        <w:wordWrap/>
        <w:topLinePunct w:val="0"/>
        <w:autoSpaceDE/>
        <w:autoSpaceDN/>
        <w:bidi w:val="0"/>
        <w:adjustRightInd/>
        <w:snapToGrid/>
        <w:spacing w:after="0" w:line="400" w:lineRule="exact"/>
        <w:ind w:left="794" w:leftChars="0" w:hanging="794"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22.2.1.</w:t>
      </w:r>
      <w:r>
        <w:rPr>
          <w:rFonts w:ascii="宋体" w:hAnsi="宋体" w:eastAsia="宋体"/>
          <w:color w:val="auto"/>
          <w:sz w:val="21"/>
          <w:szCs w:val="21"/>
          <w:highlight w:val="none"/>
        </w:rPr>
        <w:t>开标</w:t>
      </w:r>
      <w:r>
        <w:rPr>
          <w:rFonts w:hint="eastAsia" w:ascii="宋体" w:hAnsi="宋体" w:eastAsia="宋体"/>
          <w:color w:val="auto"/>
          <w:sz w:val="21"/>
          <w:szCs w:val="21"/>
          <w:highlight w:val="none"/>
        </w:rPr>
        <w:t>会</w:t>
      </w:r>
      <w:r>
        <w:rPr>
          <w:rFonts w:ascii="宋体" w:hAnsi="宋体" w:eastAsia="宋体"/>
          <w:color w:val="auto"/>
          <w:sz w:val="21"/>
          <w:szCs w:val="21"/>
          <w:highlight w:val="none"/>
        </w:rPr>
        <w:t>由</w:t>
      </w: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主持</w:t>
      </w:r>
      <w:r>
        <w:rPr>
          <w:rFonts w:hint="eastAsia" w:ascii="宋体" w:hAnsi="宋体" w:eastAsia="宋体"/>
          <w:color w:val="auto"/>
          <w:sz w:val="21"/>
          <w:szCs w:val="21"/>
          <w:highlight w:val="none"/>
        </w:rPr>
        <w:t>，投标人的法定代表人或其授权代表携带有效身份证明准时参加开标会并签名报到。</w:t>
      </w:r>
    </w:p>
    <w:p w14:paraId="5C138DA1">
      <w:pPr>
        <w:pageBreakBefore w:val="0"/>
        <w:widowControl w:val="0"/>
        <w:numPr>
          <w:ilvl w:val="2"/>
          <w:numId w:val="0"/>
        </w:numPr>
        <w:tabs>
          <w:tab w:val="left" w:pos="567"/>
        </w:tabs>
        <w:kinsoku/>
        <w:wordWrap/>
        <w:topLinePunct w:val="0"/>
        <w:autoSpaceDE/>
        <w:autoSpaceDN/>
        <w:bidi w:val="0"/>
        <w:adjustRightInd/>
        <w:snapToGrid/>
        <w:spacing w:after="0" w:line="400" w:lineRule="exact"/>
        <w:ind w:left="794" w:leftChars="0" w:hanging="794"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22.2.2.</w:t>
      </w:r>
      <w:r>
        <w:rPr>
          <w:rFonts w:hint="eastAsia" w:ascii="宋体" w:hAnsi="宋体" w:eastAsia="宋体"/>
          <w:color w:val="auto"/>
          <w:sz w:val="21"/>
          <w:szCs w:val="21"/>
          <w:highlight w:val="none"/>
        </w:rPr>
        <w:t>开标时，由投标人或者其推选的代表检查投标文件的密封情况；经确认无误后，由采购人或者采购代理机构工作人员当众拆封，宣布投标人名称、投标价格和招标文件规定的需要宣布的其他内容；</w:t>
      </w:r>
    </w:p>
    <w:p w14:paraId="7A067091">
      <w:pPr>
        <w:pageBreakBefore w:val="0"/>
        <w:widowControl w:val="0"/>
        <w:numPr>
          <w:ilvl w:val="2"/>
          <w:numId w:val="0"/>
        </w:numPr>
        <w:tabs>
          <w:tab w:val="left" w:pos="567"/>
        </w:tabs>
        <w:kinsoku/>
        <w:wordWrap/>
        <w:topLinePunct w:val="0"/>
        <w:autoSpaceDE/>
        <w:autoSpaceDN/>
        <w:bidi w:val="0"/>
        <w:adjustRightInd/>
        <w:snapToGrid/>
        <w:spacing w:after="0" w:line="400" w:lineRule="exact"/>
        <w:ind w:left="794" w:leftChars="0" w:hanging="794"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22.2.3.</w:t>
      </w:r>
      <w:r>
        <w:rPr>
          <w:rFonts w:hint="eastAsia" w:ascii="宋体" w:hAnsi="宋体" w:eastAsia="宋体"/>
          <w:color w:val="auto"/>
          <w:sz w:val="21"/>
          <w:szCs w:val="21"/>
          <w:highlight w:val="none"/>
        </w:rPr>
        <w:t>投标人代表对开标过程和开标记录有异议，以及认为采购人、采购代理机构相关工作人员有需要回避的情形的，应当场提出询问或者回避申请。开标现场未提出异议的视为认同开标结果。</w:t>
      </w:r>
    </w:p>
    <w:p w14:paraId="1B53EAF6">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22.3.</w:t>
      </w:r>
      <w:r>
        <w:rPr>
          <w:rFonts w:hint="eastAsia" w:ascii="宋体" w:hAnsi="宋体" w:eastAsia="宋体"/>
          <w:color w:val="auto"/>
          <w:sz w:val="21"/>
          <w:szCs w:val="21"/>
          <w:highlight w:val="none"/>
        </w:rPr>
        <w:t>投标人未参加开标的，视同认可开标结果。</w:t>
      </w:r>
    </w:p>
    <w:p w14:paraId="25481406">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22.4.</w:t>
      </w:r>
      <w:r>
        <w:rPr>
          <w:rFonts w:hint="eastAsia" w:ascii="宋体" w:hAnsi="宋体" w:eastAsia="宋体"/>
          <w:color w:val="auto"/>
          <w:sz w:val="21"/>
          <w:szCs w:val="21"/>
          <w:highlight w:val="none"/>
        </w:rPr>
        <w:t>合格投标人不足3家的，不得开标；</w:t>
      </w:r>
    </w:p>
    <w:p w14:paraId="03BDE302">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22.5.</w:t>
      </w:r>
      <w:r>
        <w:rPr>
          <w:rFonts w:hint="eastAsia" w:ascii="宋体" w:hAnsi="宋体" w:eastAsia="宋体"/>
          <w:color w:val="auto"/>
          <w:sz w:val="21"/>
          <w:szCs w:val="21"/>
          <w:highlight w:val="none"/>
        </w:rPr>
        <w:t>开标过程应当由采购人或者采购代理机构负责记录，由参加开标的各投标人代表和相关工作人员签字确认。</w:t>
      </w:r>
    </w:p>
    <w:p w14:paraId="482FDD14">
      <w:pPr>
        <w:pageBreakBefore w:val="0"/>
        <w:widowControl w:val="0"/>
        <w:kinsoku/>
        <w:wordWrap/>
        <w:topLinePunct w:val="0"/>
        <w:autoSpaceDE/>
        <w:autoSpaceDN/>
        <w:bidi w:val="0"/>
        <w:adjustRightInd/>
        <w:snapToGrid/>
        <w:spacing w:after="0" w:line="400" w:lineRule="exact"/>
        <w:ind w:left="567"/>
        <w:jc w:val="both"/>
        <w:textAlignment w:val="auto"/>
        <w:rPr>
          <w:color w:val="auto"/>
          <w:highlight w:val="none"/>
        </w:rPr>
      </w:pPr>
    </w:p>
    <w:p w14:paraId="568FD766">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59" w:name="_Toc318"/>
      <w:r>
        <w:rPr>
          <w:rFonts w:hint="eastAsia" w:ascii="宋体" w:hAnsi="宋体" w:eastAsia="宋体"/>
          <w:color w:val="auto"/>
          <w:sz w:val="21"/>
          <w:szCs w:val="21"/>
          <w:highlight w:val="none"/>
        </w:rPr>
        <w:t>23.评标委员会及评标方法</w:t>
      </w:r>
      <w:bookmarkEnd w:id="59"/>
    </w:p>
    <w:p w14:paraId="78F2F423">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23.1.</w:t>
      </w:r>
      <w:r>
        <w:rPr>
          <w:rFonts w:hint="eastAsia" w:ascii="宋体" w:hAnsi="宋体" w:eastAsia="宋体"/>
          <w:color w:val="auto"/>
          <w:sz w:val="21"/>
          <w:szCs w:val="21"/>
          <w:highlight w:val="none"/>
        </w:rPr>
        <w:t>评标委员会根据招标项目的特点进行组建，并负责评标工作。</w:t>
      </w:r>
    </w:p>
    <w:p w14:paraId="3E89B245">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23.2.</w:t>
      </w:r>
      <w:r>
        <w:rPr>
          <w:rFonts w:hint="eastAsia" w:ascii="宋体" w:hAnsi="宋体" w:eastAsia="宋体"/>
          <w:color w:val="auto"/>
          <w:sz w:val="21"/>
          <w:szCs w:val="21"/>
          <w:highlight w:val="none"/>
        </w:rPr>
        <w:t>评审方法：本次招标的评审方法采用综合评分法。</w:t>
      </w:r>
    </w:p>
    <w:p w14:paraId="38F18377">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23.3.</w:t>
      </w:r>
      <w:r>
        <w:rPr>
          <w:rFonts w:hint="eastAsia" w:ascii="宋体" w:hAnsi="宋体" w:eastAsia="宋体"/>
          <w:color w:val="auto"/>
          <w:sz w:val="21"/>
          <w:szCs w:val="21"/>
          <w:highlight w:val="none"/>
          <w:lang w:eastAsia="zh-CN"/>
        </w:rPr>
        <w:t>招标</w:t>
      </w:r>
      <w:r>
        <w:rPr>
          <w:rFonts w:hint="eastAsia" w:ascii="宋体" w:hAnsi="宋体" w:eastAsia="宋体"/>
          <w:color w:val="auto"/>
          <w:sz w:val="21"/>
          <w:szCs w:val="21"/>
          <w:highlight w:val="none"/>
        </w:rPr>
        <w:t>文件中要求</w:t>
      </w:r>
      <w:r>
        <w:rPr>
          <w:rFonts w:hint="eastAsia" w:ascii="宋体" w:hAnsi="宋体" w:eastAsia="宋体"/>
          <w:color w:val="auto"/>
          <w:sz w:val="21"/>
          <w:szCs w:val="21"/>
          <w:highlight w:val="none"/>
          <w:lang w:eastAsia="zh-CN"/>
        </w:rPr>
        <w:t>投标人</w:t>
      </w:r>
      <w:r>
        <w:rPr>
          <w:rFonts w:hint="eastAsia" w:ascii="宋体" w:hAnsi="宋体" w:eastAsia="宋体"/>
          <w:color w:val="auto"/>
          <w:sz w:val="21"/>
          <w:szCs w:val="21"/>
          <w:highlight w:val="none"/>
        </w:rPr>
        <w:t>提供的相关资质证书证明材料因国家政策变动导致新旧证书名称不一致，旧证书未取消且新旧证书具有同等效力的，</w:t>
      </w:r>
      <w:r>
        <w:rPr>
          <w:rFonts w:hint="eastAsia" w:ascii="宋体" w:hAnsi="宋体" w:eastAsia="宋体"/>
          <w:color w:val="auto"/>
          <w:sz w:val="21"/>
          <w:szCs w:val="21"/>
          <w:highlight w:val="none"/>
          <w:lang w:eastAsia="zh-CN"/>
        </w:rPr>
        <w:t>投标人</w:t>
      </w:r>
      <w:r>
        <w:rPr>
          <w:rFonts w:hint="eastAsia" w:ascii="宋体" w:hAnsi="宋体" w:eastAsia="宋体"/>
          <w:color w:val="auto"/>
          <w:sz w:val="21"/>
          <w:szCs w:val="21"/>
          <w:highlight w:val="none"/>
        </w:rPr>
        <w:t>提供新证书与提供在有效期内的旧证书给予同等认可。</w:t>
      </w:r>
    </w:p>
    <w:p w14:paraId="7B1D657F">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23.4.</w:t>
      </w:r>
      <w:r>
        <w:rPr>
          <w:rFonts w:hint="eastAsia" w:ascii="宋体" w:hAnsi="宋体" w:eastAsia="宋体"/>
          <w:color w:val="auto"/>
          <w:sz w:val="21"/>
          <w:szCs w:val="21"/>
          <w:highlight w:val="none"/>
        </w:rPr>
        <w:t>定标原则：在</w:t>
      </w:r>
      <w:r>
        <w:rPr>
          <w:rFonts w:ascii="宋体" w:hAnsi="宋体" w:eastAsia="宋体"/>
          <w:color w:val="auto"/>
          <w:sz w:val="21"/>
          <w:szCs w:val="21"/>
          <w:highlight w:val="none"/>
        </w:rPr>
        <w:t>满足招标文件</w:t>
      </w:r>
      <w:r>
        <w:rPr>
          <w:rFonts w:hint="eastAsia" w:ascii="宋体" w:hAnsi="宋体" w:eastAsia="宋体"/>
          <w:color w:val="auto"/>
          <w:sz w:val="21"/>
          <w:szCs w:val="21"/>
          <w:highlight w:val="none"/>
        </w:rPr>
        <w:t>实质性要求前提下，按照招标文件规定的各项评价因素进行量化打分，以评标总得分最高的投标人作为中标候选人或中标人。</w:t>
      </w:r>
    </w:p>
    <w:p w14:paraId="3392B884">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23.5.</w:t>
      </w:r>
      <w:r>
        <w:rPr>
          <w:rFonts w:hint="eastAsia" w:ascii="宋体" w:hAnsi="宋体" w:eastAsia="宋体"/>
          <w:color w:val="auto"/>
          <w:sz w:val="21"/>
          <w:szCs w:val="21"/>
          <w:highlight w:val="none"/>
        </w:rPr>
        <w:t>评标委员会对投标文件的评审内容，分为商务评议、技术评议和价格评议。评审流程包括符合性检查、澄清问题、比较与评价、推荐中标候选人或确定中标人、编写评标报告等步骤。</w:t>
      </w:r>
    </w:p>
    <w:p w14:paraId="17892A21">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23.6.</w:t>
      </w:r>
      <w:r>
        <w:rPr>
          <w:rFonts w:hint="eastAsia" w:ascii="宋体" w:hAnsi="宋体" w:eastAsia="宋体"/>
          <w:color w:val="auto"/>
          <w:sz w:val="21"/>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0C7E74C7">
      <w:pPr>
        <w:pageBreakBefore w:val="0"/>
        <w:kinsoku/>
        <w:wordWrap/>
        <w:topLinePunct w:val="0"/>
        <w:autoSpaceDE/>
        <w:autoSpaceDN/>
        <w:bidi w:val="0"/>
        <w:spacing w:line="400" w:lineRule="exact"/>
        <w:textAlignment w:val="auto"/>
        <w:rPr>
          <w:color w:val="auto"/>
          <w:highlight w:val="none"/>
        </w:rPr>
      </w:pPr>
    </w:p>
    <w:p w14:paraId="2FA201C5">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60" w:name="_Toc21911"/>
      <w:r>
        <w:rPr>
          <w:rFonts w:hint="eastAsia" w:ascii="宋体" w:hAnsi="宋体" w:eastAsia="宋体"/>
          <w:color w:val="auto"/>
          <w:sz w:val="21"/>
          <w:szCs w:val="21"/>
          <w:highlight w:val="none"/>
        </w:rPr>
        <w:t>24.评审原则及评标过程的保密</w:t>
      </w:r>
      <w:bookmarkEnd w:id="60"/>
    </w:p>
    <w:p w14:paraId="2527D701">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24.1.</w:t>
      </w:r>
      <w:r>
        <w:rPr>
          <w:rFonts w:hint="eastAsia" w:ascii="宋体" w:hAnsi="宋体" w:eastAsia="宋体"/>
          <w:color w:val="auto"/>
          <w:sz w:val="21"/>
          <w:szCs w:val="21"/>
          <w:highlight w:val="none"/>
        </w:rPr>
        <w:t>评审的基本原则：评标委员会将依据《中华人民共和国政府采购法》及国家和地方政府有关法规的规定，遵循“</w:t>
      </w:r>
      <w:r>
        <w:rPr>
          <w:rFonts w:hint="eastAsia" w:ascii="宋体" w:hAnsi="宋体" w:eastAsia="宋体"/>
          <w:color w:val="auto"/>
          <w:sz w:val="21"/>
          <w:szCs w:val="21"/>
          <w:highlight w:val="none"/>
          <w:lang w:eastAsia="zh-CN"/>
        </w:rPr>
        <w:t>客观、公正、审慎</w:t>
      </w:r>
      <w:r>
        <w:rPr>
          <w:rFonts w:hint="eastAsia" w:ascii="宋体" w:hAnsi="宋体" w:eastAsia="宋体"/>
          <w:color w:val="auto"/>
          <w:sz w:val="21"/>
          <w:szCs w:val="21"/>
          <w:highlight w:val="none"/>
        </w:rPr>
        <w:t>”的原则进行评审工作。</w:t>
      </w:r>
    </w:p>
    <w:p w14:paraId="49C07125">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24.2.</w:t>
      </w:r>
      <w:r>
        <w:rPr>
          <w:rFonts w:hint="eastAsia" w:ascii="宋体" w:hAnsi="宋体" w:eastAsia="宋体"/>
          <w:color w:val="auto"/>
          <w:sz w:val="21"/>
          <w:szCs w:val="21"/>
          <w:highlight w:val="none"/>
        </w:rPr>
        <w:t>从公开开标到签订合同，凡与审查、澄清、评审和投标有关的资料以及定标意见相关的事项，均不得向投标人及与评标无关的其他人透露。</w:t>
      </w:r>
    </w:p>
    <w:p w14:paraId="50D9D5BB">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24.3.</w:t>
      </w:r>
      <w:r>
        <w:rPr>
          <w:rFonts w:hint="eastAsia" w:ascii="宋体" w:hAnsi="宋体" w:eastAsia="宋体"/>
          <w:color w:val="auto"/>
          <w:sz w:val="21"/>
          <w:szCs w:val="21"/>
          <w:highlight w:val="none"/>
        </w:rPr>
        <w:t>任何单位和个人不得非法干预、影响评标的过程和结果。</w:t>
      </w:r>
    </w:p>
    <w:p w14:paraId="62E89EF0">
      <w:pPr>
        <w:pageBreakBefore w:val="0"/>
        <w:kinsoku/>
        <w:wordWrap/>
        <w:topLinePunct w:val="0"/>
        <w:autoSpaceDE/>
        <w:autoSpaceDN/>
        <w:bidi w:val="0"/>
        <w:spacing w:line="400" w:lineRule="exact"/>
        <w:textAlignment w:val="auto"/>
        <w:rPr>
          <w:color w:val="auto"/>
          <w:highlight w:val="none"/>
        </w:rPr>
      </w:pPr>
    </w:p>
    <w:p w14:paraId="56841467">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61" w:name="_Toc12318"/>
      <w:r>
        <w:rPr>
          <w:rFonts w:hint="eastAsia" w:ascii="宋体" w:hAnsi="宋体" w:eastAsia="宋体"/>
          <w:color w:val="auto"/>
          <w:sz w:val="21"/>
          <w:szCs w:val="21"/>
          <w:highlight w:val="none"/>
        </w:rPr>
        <w:t>25.投标文件的初审</w:t>
      </w:r>
      <w:bookmarkEnd w:id="61"/>
    </w:p>
    <w:p w14:paraId="13036F58">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b/>
          <w:color w:val="auto"/>
          <w:sz w:val="21"/>
          <w:szCs w:val="21"/>
          <w:highlight w:val="none"/>
        </w:rPr>
      </w:pPr>
      <w:r>
        <w:rPr>
          <w:rFonts w:hint="eastAsia" w:ascii="宋体" w:hAnsi="宋体" w:eastAsia="宋体" w:cstheme="minorBidi"/>
          <w:b/>
          <w:color w:val="auto"/>
          <w:sz w:val="21"/>
          <w:szCs w:val="21"/>
          <w:highlight w:val="none"/>
          <w:lang w:val="en-US" w:eastAsia="zh-CN" w:bidi="ar-SA"/>
        </w:rPr>
        <w:t>25.1.</w:t>
      </w:r>
      <w:r>
        <w:rPr>
          <w:rFonts w:hint="eastAsia" w:ascii="宋体" w:hAnsi="宋体" w:eastAsia="宋体"/>
          <w:color w:val="auto"/>
          <w:sz w:val="21"/>
          <w:szCs w:val="21"/>
          <w:highlight w:val="none"/>
        </w:rPr>
        <w:t>开标结束后，采购人或者采购代理机构将依法对投标人的资格进行审查。资格审查时，投标人存在不符合资格性检查所要求事项情况的，投标无效。未通过资格审查的投标人不进入</w:t>
      </w:r>
      <w:r>
        <w:rPr>
          <w:rFonts w:hint="eastAsia" w:ascii="宋体" w:hAnsi="宋体" w:eastAsia="宋体"/>
          <w:color w:val="auto"/>
          <w:sz w:val="21"/>
          <w:szCs w:val="21"/>
          <w:highlight w:val="none"/>
          <w:lang w:eastAsia="zh-CN"/>
        </w:rPr>
        <w:t>符合性审查</w:t>
      </w:r>
      <w:r>
        <w:rPr>
          <w:rFonts w:hint="eastAsia" w:ascii="宋体" w:hAnsi="宋体" w:eastAsia="宋体"/>
          <w:color w:val="auto"/>
          <w:sz w:val="21"/>
          <w:szCs w:val="21"/>
          <w:highlight w:val="none"/>
        </w:rPr>
        <w:t>的评审</w:t>
      </w:r>
      <w:r>
        <w:rPr>
          <w:rFonts w:hint="eastAsia" w:ascii="宋体" w:hAnsi="宋体" w:eastAsia="宋体"/>
          <w:color w:val="auto"/>
          <w:sz w:val="21"/>
          <w:szCs w:val="21"/>
          <w:highlight w:val="none"/>
          <w:lang w:eastAsia="zh-CN"/>
        </w:rPr>
        <w:t>，</w:t>
      </w:r>
      <w:r>
        <w:rPr>
          <w:rFonts w:hint="eastAsia" w:ascii="宋体" w:hAnsi="宋体" w:eastAsia="宋体"/>
          <w:b/>
          <w:color w:val="auto"/>
          <w:sz w:val="21"/>
          <w:szCs w:val="21"/>
          <w:highlight w:val="none"/>
        </w:rPr>
        <w:t>资格性检查</w:t>
      </w:r>
      <w:r>
        <w:rPr>
          <w:rFonts w:hint="eastAsia" w:ascii="宋体" w:hAnsi="宋体" w:eastAsia="宋体"/>
          <w:b/>
          <w:color w:val="auto"/>
          <w:sz w:val="21"/>
          <w:szCs w:val="21"/>
          <w:highlight w:val="none"/>
          <w:lang w:eastAsia="zh-CN"/>
        </w:rPr>
        <w:t>中发现下列情形之一的，其投标作</w:t>
      </w:r>
      <w:r>
        <w:rPr>
          <w:rFonts w:hint="eastAsia" w:ascii="宋体" w:hAnsi="宋体" w:eastAsia="宋体"/>
          <w:b/>
          <w:color w:val="auto"/>
          <w:sz w:val="21"/>
          <w:szCs w:val="21"/>
          <w:highlight w:val="none"/>
          <w:lang w:val="en-US" w:eastAsia="zh-CN"/>
        </w:rPr>
        <w:t>无效</w:t>
      </w:r>
      <w:r>
        <w:rPr>
          <w:rFonts w:hint="eastAsia" w:ascii="宋体" w:hAnsi="宋体" w:eastAsia="宋体"/>
          <w:b/>
          <w:color w:val="auto"/>
          <w:sz w:val="21"/>
          <w:szCs w:val="21"/>
          <w:highlight w:val="none"/>
          <w:lang w:eastAsia="zh-CN"/>
        </w:rPr>
        <w:t>处理：</w:t>
      </w:r>
    </w:p>
    <w:p w14:paraId="4ADC121A">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1) 资格瑕疵</w:t>
      </w:r>
    </w:p>
    <w:p w14:paraId="7E398F3A">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包括但不限于：①资格证明文件未提供或不符合招标文件要求的；</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②资格证明文件有效期过期的；③《营业执照》复印件（加盖公章）或《事业单位法人证书》复印件（加盖公章）或其他主体证书复印件（加盖公章）未提供或有效期过期的</w:t>
      </w:r>
      <w:r>
        <w:rPr>
          <w:rFonts w:hint="eastAsia" w:ascii="宋体" w:hAnsi="宋体" w:eastAsia="宋体"/>
          <w:color w:val="auto"/>
          <w:sz w:val="21"/>
          <w:szCs w:val="21"/>
          <w:highlight w:val="none"/>
          <w:lang w:eastAsia="zh-CN"/>
        </w:rPr>
        <w:t>；④提供的资质材料模糊不清导致无法辨认的。⑤投标人名称与投标文件公章不一致的。</w:t>
      </w:r>
    </w:p>
    <w:p w14:paraId="14272849">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rPr>
        <w:t>2) 投标保证金瑕疵</w:t>
      </w:r>
      <w:r>
        <w:rPr>
          <w:rFonts w:hint="eastAsia" w:ascii="宋体" w:hAnsi="宋体" w:eastAsia="宋体"/>
          <w:b/>
          <w:color w:val="auto"/>
          <w:sz w:val="21"/>
          <w:szCs w:val="21"/>
          <w:highlight w:val="none"/>
          <w:lang w:eastAsia="zh-CN"/>
        </w:rPr>
        <w:t>（无）</w:t>
      </w:r>
    </w:p>
    <w:p w14:paraId="57B27AAF">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包括但不限于：①投标人未按招标文件要求提交投标保证金；②提交方式、提交时间、提交金额不符合招标文件要求；③投标保证金有效期不符合招标文件要求。</w:t>
      </w:r>
    </w:p>
    <w:p w14:paraId="0016A64A">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25.2.</w:t>
      </w:r>
      <w:r>
        <w:rPr>
          <w:rFonts w:hint="eastAsia" w:ascii="宋体" w:hAnsi="宋体" w:eastAsia="宋体"/>
          <w:color w:val="auto"/>
          <w:sz w:val="21"/>
          <w:szCs w:val="21"/>
          <w:highlight w:val="none"/>
        </w:rPr>
        <w:t>评标委员会将对符合资格的投标人的投标文件进行符合性审查，以确定其是否满足招标文件的实质性要求。投标人不得通过修正或</w:t>
      </w:r>
      <w:r>
        <w:rPr>
          <w:rFonts w:hint="eastAsia" w:ascii="宋体" w:hAnsi="宋体" w:eastAsia="宋体"/>
          <w:color w:val="auto"/>
          <w:sz w:val="21"/>
          <w:szCs w:val="21"/>
          <w:highlight w:val="none"/>
          <w:lang w:eastAsia="zh-CN"/>
        </w:rPr>
        <w:t>撤销</w:t>
      </w:r>
      <w:r>
        <w:rPr>
          <w:rFonts w:hint="eastAsia" w:ascii="宋体" w:hAnsi="宋体" w:eastAsia="宋体"/>
          <w:color w:val="auto"/>
          <w:sz w:val="21"/>
          <w:szCs w:val="21"/>
          <w:highlight w:val="none"/>
        </w:rPr>
        <w:t>不合要求的偏离或保留从而使其投标成为实质上响应的投标。</w:t>
      </w:r>
      <w:r>
        <w:rPr>
          <w:rFonts w:hint="eastAsia" w:ascii="宋体" w:hAnsi="宋体" w:eastAsia="宋体"/>
          <w:color w:val="auto"/>
          <w:sz w:val="21"/>
          <w:szCs w:val="21"/>
          <w:highlight w:val="none"/>
          <w:lang w:eastAsia="zh-CN"/>
        </w:rPr>
        <w:t>符合性审查过程</w:t>
      </w:r>
      <w:r>
        <w:rPr>
          <w:rFonts w:hint="eastAsia" w:ascii="宋体" w:hAnsi="宋体" w:eastAsia="宋体"/>
          <w:color w:val="auto"/>
          <w:sz w:val="21"/>
          <w:szCs w:val="21"/>
          <w:highlight w:val="none"/>
        </w:rPr>
        <w:t>中，</w:t>
      </w:r>
      <w:r>
        <w:rPr>
          <w:rFonts w:hint="eastAsia" w:ascii="宋体" w:hAnsi="宋体" w:eastAsia="宋体"/>
          <w:b/>
          <w:color w:val="auto"/>
          <w:sz w:val="21"/>
          <w:szCs w:val="21"/>
          <w:highlight w:val="none"/>
        </w:rPr>
        <w:t>发现下列情况之一的，其投标将作</w:t>
      </w:r>
      <w:r>
        <w:rPr>
          <w:rFonts w:hint="eastAsia" w:ascii="宋体" w:hAnsi="宋体" w:eastAsia="宋体"/>
          <w:b/>
          <w:color w:val="auto"/>
          <w:sz w:val="21"/>
          <w:szCs w:val="21"/>
          <w:highlight w:val="none"/>
          <w:lang w:val="en-US" w:eastAsia="zh-CN"/>
        </w:rPr>
        <w:t>无效</w:t>
      </w:r>
      <w:r>
        <w:rPr>
          <w:rFonts w:hint="eastAsia" w:ascii="宋体" w:hAnsi="宋体" w:eastAsia="宋体"/>
          <w:b/>
          <w:color w:val="auto"/>
          <w:sz w:val="21"/>
          <w:szCs w:val="21"/>
          <w:highlight w:val="none"/>
        </w:rPr>
        <w:t>处理</w:t>
      </w:r>
      <w:r>
        <w:rPr>
          <w:rFonts w:hint="eastAsia" w:ascii="宋体" w:hAnsi="宋体" w:eastAsia="宋体"/>
          <w:color w:val="auto"/>
          <w:sz w:val="21"/>
          <w:szCs w:val="21"/>
          <w:highlight w:val="none"/>
        </w:rPr>
        <w:t>：</w:t>
      </w:r>
    </w:p>
    <w:p w14:paraId="4CB910DB">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r>
        <w:rPr>
          <w:rFonts w:hint="eastAsia" w:ascii="宋体" w:hAnsi="宋体" w:eastAsia="宋体"/>
          <w:b/>
          <w:color w:val="auto"/>
          <w:sz w:val="21"/>
          <w:szCs w:val="21"/>
          <w:highlight w:val="none"/>
        </w:rPr>
        <w:t>1) 投标文件的有效性、完整性瑕疵</w:t>
      </w:r>
    </w:p>
    <w:p w14:paraId="4688C2B3">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包括但不限于：①投标文件的数量、制作不符合要求</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投标文件内容与采购内容不符的</w:t>
      </w:r>
      <w:r>
        <w:rPr>
          <w:rFonts w:hint="eastAsia" w:ascii="宋体" w:hAnsi="宋体" w:eastAsia="宋体"/>
          <w:color w:val="auto"/>
          <w:sz w:val="21"/>
          <w:szCs w:val="21"/>
          <w:highlight w:val="none"/>
          <w:lang w:eastAsia="zh-CN"/>
        </w:rPr>
        <w:t>（包括但不限于</w:t>
      </w:r>
      <w:r>
        <w:rPr>
          <w:rFonts w:hint="eastAsia" w:ascii="宋体" w:hAnsi="宋体" w:eastAsia="宋体"/>
          <w:color w:val="auto"/>
          <w:sz w:val="21"/>
          <w:szCs w:val="21"/>
          <w:highlight w:val="none"/>
        </w:rPr>
        <w:t>投标文件项目采购项目编号错误，投标文件项目名称错误导致无法</w:t>
      </w:r>
      <w:r>
        <w:rPr>
          <w:rFonts w:hint="eastAsia" w:ascii="宋体" w:hAnsi="宋体" w:eastAsia="宋体"/>
          <w:color w:val="auto"/>
          <w:sz w:val="21"/>
          <w:szCs w:val="21"/>
          <w:highlight w:val="none"/>
          <w:lang w:val="en-US" w:eastAsia="zh-CN"/>
        </w:rPr>
        <w:t>分辨</w:t>
      </w:r>
      <w:r>
        <w:rPr>
          <w:rFonts w:hint="eastAsia" w:ascii="宋体" w:hAnsi="宋体" w:eastAsia="宋体"/>
          <w:color w:val="auto"/>
          <w:sz w:val="21"/>
          <w:szCs w:val="21"/>
          <w:highlight w:val="none"/>
        </w:rPr>
        <w:t>所投项目为本项目</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投标文件数量少于招标文件要求的</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；②投标文件中要求签字的内容无法定代表人或其授权代表签字，或签字人无法定代表人有效授权的；③签字盖章不符合招标文件要求的；④投标文件内容有严重缺漏项的；</w:t>
      </w:r>
      <w:r>
        <w:rPr>
          <w:rFonts w:hint="eastAsia" w:ascii="宋体" w:hAnsi="宋体" w:eastAsia="宋体"/>
          <w:color w:val="auto"/>
          <w:sz w:val="21"/>
          <w:szCs w:val="21"/>
          <w:highlight w:val="none"/>
          <w:lang w:eastAsia="zh-CN"/>
        </w:rPr>
        <w:t>⑤</w:t>
      </w:r>
      <w:r>
        <w:rPr>
          <w:rFonts w:hint="eastAsia" w:ascii="宋体" w:hAnsi="宋体" w:eastAsia="宋体"/>
          <w:color w:val="auto"/>
          <w:sz w:val="21"/>
          <w:szCs w:val="21"/>
          <w:highlight w:val="none"/>
        </w:rPr>
        <w:t>投标文件的关键内容字迹模糊、无法辨认的；</w:t>
      </w:r>
      <w:r>
        <w:rPr>
          <w:rFonts w:hint="eastAsia" w:ascii="宋体" w:hAnsi="宋体" w:eastAsia="宋体"/>
          <w:color w:val="auto"/>
          <w:sz w:val="21"/>
          <w:szCs w:val="21"/>
          <w:highlight w:val="none"/>
          <w:lang w:eastAsia="zh-CN"/>
        </w:rPr>
        <w:t>⑥</w:t>
      </w:r>
      <w:r>
        <w:rPr>
          <w:rFonts w:hint="eastAsia" w:ascii="宋体" w:hAnsi="宋体" w:eastAsia="宋体"/>
          <w:color w:val="auto"/>
          <w:sz w:val="21"/>
          <w:szCs w:val="21"/>
          <w:highlight w:val="none"/>
        </w:rPr>
        <w:t>投标有效期不符合文件要求的。</w:t>
      </w:r>
    </w:p>
    <w:p w14:paraId="1674D6AA">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2) 技术响应瑕疵</w:t>
      </w:r>
    </w:p>
    <w:p w14:paraId="1DC16507">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w:t>
      </w:r>
      <w:r>
        <w:rPr>
          <w:rFonts w:hint="eastAsia" w:ascii="宋体" w:hAnsi="宋体" w:eastAsia="宋体"/>
          <w:color w:val="auto"/>
          <w:sz w:val="21"/>
          <w:szCs w:val="21"/>
          <w:highlight w:val="none"/>
          <w:lang w:eastAsia="zh-CN"/>
        </w:rPr>
        <w:t>技术条款</w:t>
      </w:r>
      <w:r>
        <w:rPr>
          <w:rFonts w:hint="eastAsia" w:ascii="宋体" w:hAnsi="宋体" w:eastAsia="宋体"/>
          <w:color w:val="auto"/>
          <w:sz w:val="21"/>
          <w:szCs w:val="21"/>
          <w:highlight w:val="none"/>
        </w:rPr>
        <w:t>偏离表》未提供的；⑤将一个包中的内容拆开投标的；⑥投标人对同一货物或服务投标时，</w:t>
      </w:r>
      <w:r>
        <w:rPr>
          <w:rFonts w:hint="eastAsia" w:ascii="宋体" w:hAnsi="宋体" w:eastAsia="宋体"/>
          <w:color w:val="auto"/>
          <w:sz w:val="21"/>
          <w:szCs w:val="21"/>
          <w:highlight w:val="none"/>
          <w:lang w:eastAsia="zh-CN"/>
        </w:rPr>
        <w:t>投标方案不唯一</w:t>
      </w:r>
      <w:r>
        <w:rPr>
          <w:rFonts w:hint="eastAsia" w:ascii="宋体" w:hAnsi="宋体" w:eastAsia="宋体"/>
          <w:color w:val="auto"/>
          <w:sz w:val="21"/>
          <w:szCs w:val="21"/>
          <w:highlight w:val="none"/>
        </w:rPr>
        <w:t>；⑦明显不符合技术规格、技术标准要求的；⑧其他未实质性响应招标文件技术要求的。</w:t>
      </w:r>
    </w:p>
    <w:p w14:paraId="7A193797">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3) 商务响应瑕疵</w:t>
      </w:r>
    </w:p>
    <w:p w14:paraId="6DC672B5">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w:t>
      </w:r>
      <w:r>
        <w:rPr>
          <w:rFonts w:hint="eastAsia" w:ascii="宋体" w:hAnsi="宋体" w:eastAsia="宋体"/>
          <w:color w:val="auto"/>
          <w:sz w:val="21"/>
          <w:szCs w:val="21"/>
          <w:highlight w:val="none"/>
          <w:lang w:eastAsia="zh-CN"/>
        </w:rPr>
        <w:t>⑤</w:t>
      </w:r>
      <w:r>
        <w:rPr>
          <w:rFonts w:hint="eastAsia" w:ascii="宋体" w:hAnsi="宋体" w:eastAsia="宋体"/>
          <w:color w:val="auto"/>
          <w:sz w:val="21"/>
          <w:szCs w:val="21"/>
          <w:highlight w:val="none"/>
        </w:rPr>
        <w:t>投标文件附有采购人不能接受的条件的；</w:t>
      </w:r>
      <w:r>
        <w:rPr>
          <w:rFonts w:hint="eastAsia" w:ascii="宋体" w:hAnsi="宋体" w:eastAsia="宋体"/>
          <w:color w:val="auto"/>
          <w:sz w:val="21"/>
          <w:szCs w:val="21"/>
          <w:highlight w:val="none"/>
          <w:lang w:eastAsia="zh-CN"/>
        </w:rPr>
        <w:t>⑥</w:t>
      </w:r>
      <w:r>
        <w:rPr>
          <w:rFonts w:hint="eastAsia" w:ascii="宋体" w:hAnsi="宋体" w:eastAsia="宋体"/>
          <w:color w:val="auto"/>
          <w:sz w:val="21"/>
          <w:szCs w:val="21"/>
          <w:highlight w:val="none"/>
        </w:rPr>
        <w:t>其他未实质性响应招标文件商务要求的。</w:t>
      </w:r>
    </w:p>
    <w:p w14:paraId="17364143">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4）投标报价瑕疵</w:t>
      </w:r>
    </w:p>
    <w:p w14:paraId="070A97E3">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包括但不限于：</w:t>
      </w:r>
      <w:r>
        <w:rPr>
          <w:rFonts w:hint="eastAsia" w:ascii="宋体" w:hAnsi="宋体" w:eastAsia="宋体"/>
          <w:color w:val="auto"/>
          <w:sz w:val="21"/>
          <w:szCs w:val="21"/>
          <w:highlight w:val="none"/>
        </w:rPr>
        <w:t>①投标报价超过本招标文件明确的项目预算或文件明确的最高限价；②</w:t>
      </w:r>
      <w:r>
        <w:rPr>
          <w:rFonts w:hint="eastAsia" w:ascii="宋体" w:hAnsi="宋体" w:eastAsia="宋体"/>
          <w:color w:val="auto"/>
          <w:sz w:val="21"/>
          <w:szCs w:val="21"/>
          <w:highlight w:val="none"/>
          <w:lang w:eastAsia="zh-CN"/>
        </w:rPr>
        <w:t>未按招标文件要求进行报价的</w:t>
      </w:r>
      <w:r>
        <w:rPr>
          <w:rFonts w:hint="eastAsia" w:ascii="宋体" w:hAnsi="宋体" w:eastAsia="宋体"/>
          <w:color w:val="auto"/>
          <w:sz w:val="21"/>
          <w:szCs w:val="21"/>
          <w:highlight w:val="none"/>
        </w:rPr>
        <w:t>；③</w:t>
      </w:r>
      <w:r>
        <w:rPr>
          <w:rFonts w:hint="eastAsia" w:ascii="宋体" w:hAnsi="宋体" w:eastAsia="宋体"/>
          <w:color w:val="auto"/>
          <w:sz w:val="21"/>
          <w:szCs w:val="21"/>
          <w:highlight w:val="none"/>
          <w:lang w:eastAsia="zh-CN"/>
        </w:rPr>
        <w:t>报价内容或报价格式不符合招标文件要求的；④投标报价有严重缺漏项的。</w:t>
      </w:r>
    </w:p>
    <w:p w14:paraId="66E88D40">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5）违规行为</w:t>
      </w:r>
    </w:p>
    <w:p w14:paraId="76BEA2C0">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包括但不限于：①以他人的名义投标、串通投标、以行贿手段谋取中标或者以其他弄虚作假方式投标的；②扰乱开标、评标秩序，干扰招标工作正常进行的。</w:t>
      </w:r>
      <w:r>
        <w:rPr>
          <w:rFonts w:hint="eastAsia" w:ascii="宋体" w:hAnsi="宋体" w:eastAsia="宋体"/>
          <w:color w:val="auto"/>
          <w:sz w:val="21"/>
          <w:szCs w:val="21"/>
          <w:highlight w:val="none"/>
          <w:lang w:eastAsia="zh-CN"/>
        </w:rPr>
        <w:t>③存在经评标委员会认定的其他违规违法行为。</w:t>
      </w:r>
    </w:p>
    <w:p w14:paraId="72577746">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6)法律法规及招标文件中规定的其它情形。</w:t>
      </w:r>
    </w:p>
    <w:p w14:paraId="1E539A93">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根据项目情况，评标委员会有权决定招标文件中“可能导致废标”或“可能导致其投标被拒绝”等具体条款是否实施“废标”或“投标被拒绝”，但对同一条款的裁决应适用于每个投标人。</w:t>
      </w:r>
    </w:p>
    <w:p w14:paraId="326F87D7">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25.3.</w:t>
      </w:r>
      <w:r>
        <w:rPr>
          <w:rFonts w:hint="eastAsia" w:ascii="宋体" w:hAnsi="宋体" w:eastAsia="宋体"/>
          <w:color w:val="auto"/>
          <w:sz w:val="21"/>
          <w:szCs w:val="21"/>
          <w:highlight w:val="none"/>
        </w:rPr>
        <w:t>对于投标文件中不构成实质性偏差的不正规、不一致或不规则，评标委员会可以接受，但这种接受不能损害或影响任何投标人的相对排序。</w:t>
      </w:r>
    </w:p>
    <w:p w14:paraId="370A511A">
      <w:pPr>
        <w:pageBreakBefore w:val="0"/>
        <w:widowControl w:val="0"/>
        <w:numPr>
          <w:ilvl w:val="1"/>
          <w:numId w:val="0"/>
        </w:numPr>
        <w:kinsoku/>
        <w:wordWrap/>
        <w:topLinePunct w:val="0"/>
        <w:autoSpaceDE/>
        <w:autoSpaceDN/>
        <w:bidi w:val="0"/>
        <w:adjustRightInd/>
        <w:snapToGrid/>
        <w:spacing w:after="0" w:line="400" w:lineRule="exact"/>
        <w:ind w:left="567" w:leftChars="0" w:hanging="567" w:firstLineChars="0"/>
        <w:jc w:val="both"/>
        <w:textAlignment w:val="auto"/>
        <w:rPr>
          <w:color w:val="auto"/>
          <w:highlight w:val="none"/>
        </w:rPr>
      </w:pPr>
      <w:r>
        <w:rPr>
          <w:rFonts w:hint="eastAsia" w:ascii="宋体" w:hAnsi="宋体" w:eastAsia="宋体" w:cstheme="minorBidi"/>
          <w:color w:val="auto"/>
          <w:sz w:val="22"/>
          <w:szCs w:val="22"/>
          <w:highlight w:val="none"/>
          <w:lang w:val="en-US" w:eastAsia="zh-CN" w:bidi="ar-SA"/>
        </w:rPr>
        <w:t>25.4.</w:t>
      </w:r>
      <w:r>
        <w:rPr>
          <w:rFonts w:hint="eastAsia" w:ascii="宋体" w:hAnsi="宋体" w:eastAsia="宋体"/>
          <w:color w:val="auto"/>
          <w:sz w:val="21"/>
          <w:szCs w:val="21"/>
          <w:highlight w:val="none"/>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4ED056EB">
      <w:pPr>
        <w:pageBreakBefore w:val="0"/>
        <w:kinsoku/>
        <w:wordWrap/>
        <w:topLinePunct w:val="0"/>
        <w:autoSpaceDE/>
        <w:autoSpaceDN/>
        <w:bidi w:val="0"/>
        <w:spacing w:line="400" w:lineRule="exact"/>
        <w:textAlignment w:val="auto"/>
        <w:rPr>
          <w:color w:val="auto"/>
          <w:highlight w:val="none"/>
        </w:rPr>
      </w:pPr>
    </w:p>
    <w:p w14:paraId="61174BC7">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62" w:name="_Toc19657"/>
      <w:r>
        <w:rPr>
          <w:rFonts w:hint="eastAsia" w:ascii="宋体" w:hAnsi="宋体" w:eastAsia="宋体"/>
          <w:color w:val="auto"/>
          <w:sz w:val="21"/>
          <w:szCs w:val="21"/>
          <w:highlight w:val="none"/>
        </w:rPr>
        <w:t>26.商务、技术、价格评审（具体评审项目详见投标资料表）</w:t>
      </w:r>
      <w:bookmarkEnd w:id="62"/>
    </w:p>
    <w:p w14:paraId="7E61F532">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26.1.</w:t>
      </w:r>
      <w:r>
        <w:rPr>
          <w:rFonts w:ascii="宋体" w:hAnsi="宋体" w:eastAsia="宋体"/>
          <w:color w:val="auto"/>
          <w:sz w:val="21"/>
          <w:szCs w:val="21"/>
          <w:highlight w:val="none"/>
        </w:rPr>
        <w:t>对通过符合性检查的投标人进行商务技术综合评议，针对投标文件对招标文件的响应情况对各个投标人进行商务和技术评分</w:t>
      </w:r>
      <w:r>
        <w:rPr>
          <w:rFonts w:hint="eastAsia" w:ascii="宋体" w:hAnsi="宋体" w:eastAsia="宋体"/>
          <w:color w:val="auto"/>
          <w:sz w:val="21"/>
          <w:szCs w:val="21"/>
          <w:highlight w:val="none"/>
        </w:rPr>
        <w:t xml:space="preserve">。 </w:t>
      </w:r>
    </w:p>
    <w:p w14:paraId="45AACD23">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26.2.</w:t>
      </w:r>
      <w:r>
        <w:rPr>
          <w:rFonts w:hint="eastAsia" w:ascii="宋体" w:hAnsi="宋体" w:eastAsia="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BBCA1A">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26.3.</w:t>
      </w:r>
      <w:r>
        <w:rPr>
          <w:rFonts w:hint="eastAsia" w:ascii="宋体" w:hAnsi="宋体" w:eastAsia="宋体"/>
          <w:color w:val="auto"/>
          <w:sz w:val="21"/>
          <w:szCs w:val="21"/>
          <w:highlight w:val="none"/>
        </w:rPr>
        <w:t>投标文件报价出现前后不一致的，评标委员会按照下列规定修正：</w:t>
      </w:r>
    </w:p>
    <w:p w14:paraId="2431665D">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26.4.</w:t>
      </w:r>
      <w:r>
        <w:rPr>
          <w:rFonts w:hint="eastAsia" w:ascii="宋体" w:hAnsi="宋体" w:eastAsia="宋体"/>
          <w:color w:val="auto"/>
          <w:sz w:val="21"/>
          <w:szCs w:val="21"/>
          <w:highlight w:val="none"/>
        </w:rPr>
        <w:t>投标文件中开标一览表（报价表）内容与投标文件中相应内容不一致的，以开标一览表（报价表）为准；</w:t>
      </w:r>
    </w:p>
    <w:p w14:paraId="5B90465A">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26.5.</w:t>
      </w:r>
      <w:r>
        <w:rPr>
          <w:rFonts w:hint="eastAsia" w:ascii="宋体" w:hAnsi="宋体" w:eastAsia="宋体"/>
          <w:color w:val="auto"/>
          <w:sz w:val="21"/>
          <w:szCs w:val="21"/>
          <w:highlight w:val="none"/>
        </w:rPr>
        <w:t>大写金额和小写金额不一致的，以大写金额为准；</w:t>
      </w:r>
    </w:p>
    <w:p w14:paraId="7AD8E783">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26.6.</w:t>
      </w:r>
      <w:r>
        <w:rPr>
          <w:rFonts w:hint="eastAsia" w:ascii="宋体" w:hAnsi="宋体" w:eastAsia="宋体"/>
          <w:color w:val="auto"/>
          <w:sz w:val="21"/>
          <w:szCs w:val="21"/>
          <w:highlight w:val="none"/>
        </w:rPr>
        <w:t>单价金额小数点或者百分比有明显错位的，以开标一览表的总价为准，并修改单价；</w:t>
      </w:r>
    </w:p>
    <w:p w14:paraId="1AB0126E">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26.7.</w:t>
      </w:r>
      <w:r>
        <w:rPr>
          <w:rFonts w:hint="eastAsia" w:ascii="宋体" w:hAnsi="宋体" w:eastAsia="宋体"/>
          <w:color w:val="auto"/>
          <w:sz w:val="21"/>
          <w:szCs w:val="21"/>
          <w:highlight w:val="none"/>
        </w:rPr>
        <w:t>总价金额与按单价汇总金额不一致的，以单价金额计算结果为准。</w:t>
      </w:r>
    </w:p>
    <w:p w14:paraId="7D41AB4A">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26.8.</w:t>
      </w:r>
      <w:r>
        <w:rPr>
          <w:rFonts w:hint="eastAsia" w:ascii="宋体" w:hAnsi="宋体" w:eastAsia="宋体"/>
          <w:color w:val="auto"/>
          <w:sz w:val="21"/>
          <w:szCs w:val="21"/>
          <w:highlight w:val="none"/>
        </w:rPr>
        <w:t>同时出现两种以上不一致的，按照前款规定的顺序修正。修正后的报价按照经投标人确认后产生约束力，投标人不确认的，其投标无效。</w:t>
      </w:r>
    </w:p>
    <w:p w14:paraId="09FC9155">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26.9.</w:t>
      </w:r>
      <w:r>
        <w:rPr>
          <w:rFonts w:hint="eastAsia" w:ascii="宋体" w:hAnsi="宋体" w:eastAsia="宋体"/>
          <w:color w:val="auto"/>
          <w:sz w:val="21"/>
          <w:szCs w:val="21"/>
          <w:highlight w:val="none"/>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14:paraId="300CBF9C">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26.10.</w:t>
      </w:r>
      <w:r>
        <w:rPr>
          <w:rFonts w:hint="eastAsia" w:ascii="宋体" w:hAnsi="宋体" w:eastAsia="宋体"/>
          <w:color w:val="auto"/>
          <w:sz w:val="21"/>
          <w:szCs w:val="21"/>
          <w:highlight w:val="none"/>
        </w:rPr>
        <w:t>使用综合评分法的采购项目，</w:t>
      </w:r>
      <w:r>
        <w:rPr>
          <w:rFonts w:hint="eastAsia" w:ascii="宋体" w:hAnsi="宋体" w:eastAsia="宋体"/>
          <w:color w:val="auto"/>
          <w:sz w:val="21"/>
          <w:szCs w:val="21"/>
          <w:highlight w:val="none"/>
          <w:lang w:eastAsia="zh-CN"/>
        </w:rPr>
        <w:t>核心产品</w:t>
      </w:r>
      <w:r>
        <w:rPr>
          <w:rFonts w:hint="eastAsia" w:ascii="宋体" w:hAnsi="宋体" w:eastAsia="宋体"/>
          <w:color w:val="auto"/>
          <w:sz w:val="21"/>
          <w:szCs w:val="21"/>
          <w:highlight w:val="none"/>
        </w:rPr>
        <w:t>提供相同品牌产品且通过资格审查、符合性审查的不同投标人参加同一合同项下投标的，按一家投标人计算，评审后得分最高的同品牌投标人获得中标人推荐资格</w:t>
      </w:r>
      <w:r>
        <w:rPr>
          <w:rFonts w:hint="eastAsia" w:ascii="宋体" w:hAnsi="宋体" w:eastAsia="宋体"/>
          <w:color w:val="auto"/>
          <w:sz w:val="21"/>
          <w:szCs w:val="21"/>
          <w:highlight w:val="none"/>
          <w:lang w:eastAsia="zh-CN"/>
        </w:rPr>
        <w:t>。</w:t>
      </w:r>
    </w:p>
    <w:p w14:paraId="5EAE163E">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26.11.</w:t>
      </w:r>
      <w:r>
        <w:rPr>
          <w:rFonts w:hint="eastAsia" w:ascii="宋体" w:hAnsi="宋体" w:eastAsia="宋体"/>
          <w:color w:val="auto"/>
          <w:sz w:val="21"/>
          <w:szCs w:val="21"/>
          <w:highlight w:val="none"/>
          <w:lang w:eastAsia="zh-CN"/>
        </w:rPr>
        <w:t>核心产品</w:t>
      </w:r>
      <w:r>
        <w:rPr>
          <w:rFonts w:hint="eastAsia" w:ascii="宋体" w:hAnsi="宋体" w:eastAsia="宋体"/>
          <w:color w:val="auto"/>
          <w:sz w:val="21"/>
          <w:szCs w:val="21"/>
          <w:highlight w:val="none"/>
        </w:rPr>
        <w:t>提供相同品牌产品且通过资格审查、符合性审查的不同投标人参加同一合同项下投标</w:t>
      </w:r>
      <w:r>
        <w:rPr>
          <w:rFonts w:hint="eastAsia" w:ascii="宋体" w:hAnsi="宋体" w:eastAsia="宋体"/>
          <w:color w:val="auto"/>
          <w:sz w:val="21"/>
          <w:szCs w:val="21"/>
          <w:highlight w:val="none"/>
          <w:lang w:eastAsia="zh-CN"/>
        </w:rPr>
        <w:t>且</w:t>
      </w:r>
      <w:r>
        <w:rPr>
          <w:rFonts w:hint="eastAsia" w:ascii="宋体" w:hAnsi="宋体" w:eastAsia="宋体"/>
          <w:color w:val="auto"/>
          <w:sz w:val="21"/>
          <w:szCs w:val="21"/>
          <w:highlight w:val="none"/>
        </w:rPr>
        <w:t>评审得分相同的，按照评审因素的</w:t>
      </w:r>
      <w:r>
        <w:rPr>
          <w:rFonts w:hint="eastAsia" w:ascii="宋体" w:hAnsi="宋体" w:eastAsia="宋体"/>
          <w:color w:val="auto"/>
          <w:sz w:val="21"/>
          <w:szCs w:val="21"/>
          <w:highlight w:val="none"/>
          <w:lang w:eastAsia="zh-CN"/>
        </w:rPr>
        <w:t>技术</w:t>
      </w:r>
      <w:r>
        <w:rPr>
          <w:rFonts w:hint="eastAsia" w:ascii="宋体" w:hAnsi="宋体" w:eastAsia="宋体"/>
          <w:color w:val="auto"/>
          <w:sz w:val="21"/>
          <w:szCs w:val="21"/>
          <w:highlight w:val="none"/>
        </w:rPr>
        <w:t>评审得分最高的投标人为排名第一的中标候选人，其他同品牌投标人不作为中标候选人。</w:t>
      </w:r>
    </w:p>
    <w:p w14:paraId="22CC5146">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eastAsia="宋体"/>
          <w:color w:val="auto"/>
          <w:highlight w:val="none"/>
          <w:lang w:eastAsia="zh-CN"/>
        </w:rPr>
      </w:pPr>
      <w:r>
        <w:rPr>
          <w:rFonts w:hint="eastAsia" w:ascii="宋体" w:hAnsi="宋体" w:eastAsia="宋体" w:cstheme="minorBidi"/>
          <w:color w:val="auto"/>
          <w:sz w:val="22"/>
          <w:szCs w:val="22"/>
          <w:highlight w:val="none"/>
          <w:lang w:val="en-US" w:eastAsia="zh-CN" w:bidi="ar-SA"/>
        </w:rPr>
        <w:t>26.12.</w:t>
      </w:r>
      <w:r>
        <w:rPr>
          <w:rFonts w:hint="eastAsia" w:ascii="宋体" w:hAnsi="宋体" w:eastAsia="宋体"/>
          <w:color w:val="auto"/>
          <w:sz w:val="21"/>
          <w:szCs w:val="21"/>
          <w:highlight w:val="none"/>
        </w:rPr>
        <w:t>采用综合评分法的，评标结果按评审后得分由高到低顺序排列。</w:t>
      </w:r>
      <w:r>
        <w:rPr>
          <w:rFonts w:hint="eastAsia" w:ascii="宋体" w:hAnsi="宋体" w:eastAsia="宋体"/>
          <w:color w:val="auto"/>
          <w:sz w:val="21"/>
          <w:szCs w:val="21"/>
          <w:highlight w:val="none"/>
          <w:lang w:eastAsia="zh-CN"/>
        </w:rPr>
        <w:t>评审</w:t>
      </w:r>
      <w:r>
        <w:rPr>
          <w:rFonts w:hint="eastAsia" w:ascii="宋体" w:hAnsi="宋体" w:eastAsia="宋体"/>
          <w:color w:val="auto"/>
          <w:sz w:val="21"/>
          <w:szCs w:val="21"/>
          <w:highlight w:val="none"/>
        </w:rPr>
        <w:t>得分相同的，按投标报价</w:t>
      </w:r>
      <w:r>
        <w:rPr>
          <w:rFonts w:hint="eastAsia" w:ascii="宋体" w:hAnsi="宋体" w:eastAsia="宋体"/>
          <w:color w:val="auto"/>
          <w:sz w:val="21"/>
          <w:szCs w:val="21"/>
          <w:highlight w:val="none"/>
          <w:lang w:eastAsia="zh-CN"/>
        </w:rPr>
        <w:t>（投标原报价）</w:t>
      </w:r>
      <w:r>
        <w:rPr>
          <w:rFonts w:hint="eastAsia" w:ascii="宋体" w:hAnsi="宋体" w:eastAsia="宋体"/>
          <w:color w:val="auto"/>
          <w:sz w:val="21"/>
          <w:szCs w:val="21"/>
          <w:highlight w:val="none"/>
        </w:rPr>
        <w:t>由低到高顺序排列。</w:t>
      </w:r>
      <w:r>
        <w:rPr>
          <w:rFonts w:hint="eastAsia" w:ascii="宋体" w:hAnsi="宋体" w:eastAsia="宋体"/>
          <w:color w:val="auto"/>
          <w:sz w:val="21"/>
          <w:szCs w:val="21"/>
          <w:highlight w:val="none"/>
          <w:lang w:eastAsia="zh-CN"/>
        </w:rPr>
        <w:t>评审得分及投标报价均相同时，以随机抽取方式决定。</w:t>
      </w:r>
      <w:r>
        <w:rPr>
          <w:rFonts w:hint="eastAsia" w:ascii="宋体" w:hAnsi="宋体" w:eastAsia="宋体"/>
          <w:color w:val="auto"/>
          <w:sz w:val="21"/>
          <w:szCs w:val="21"/>
          <w:highlight w:val="none"/>
        </w:rPr>
        <w:t>投标文件满足招标文件全部实质性要求，且按照评审因素的量化指标评审得分最高的投标人为排名第一的中标候选人。</w:t>
      </w:r>
    </w:p>
    <w:p w14:paraId="68612E37">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p>
    <w:p w14:paraId="30701B54">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63" w:name="_Toc6456"/>
      <w:r>
        <w:rPr>
          <w:rFonts w:hint="eastAsia" w:ascii="宋体" w:hAnsi="宋体" w:eastAsia="宋体"/>
          <w:color w:val="auto"/>
          <w:sz w:val="21"/>
          <w:szCs w:val="21"/>
          <w:highlight w:val="none"/>
        </w:rPr>
        <w:t>27.优惠政策</w:t>
      </w:r>
      <w:bookmarkEnd w:id="63"/>
      <w:r>
        <w:rPr>
          <w:rFonts w:hint="eastAsia" w:ascii="宋体" w:hAnsi="宋体" w:eastAsia="宋体"/>
          <w:color w:val="auto"/>
          <w:sz w:val="21"/>
          <w:szCs w:val="21"/>
          <w:highlight w:val="none"/>
          <w:lang w:val="en-US" w:eastAsia="zh-CN"/>
        </w:rPr>
        <w:t>（无）</w:t>
      </w:r>
    </w:p>
    <w:p w14:paraId="2F0D6EE8">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auto"/>
          <w:sz w:val="21"/>
          <w:szCs w:val="21"/>
          <w:highlight w:val="none"/>
        </w:rPr>
      </w:pPr>
    </w:p>
    <w:p w14:paraId="2A299A87">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64" w:name="_Toc316375620"/>
      <w:bookmarkStart w:id="65" w:name="_Toc5898"/>
      <w:bookmarkStart w:id="66" w:name="_Toc20328"/>
      <w:bookmarkStart w:id="67" w:name="_Toc382049120"/>
      <w:r>
        <w:rPr>
          <w:rFonts w:hint="eastAsia" w:ascii="宋体" w:hAnsi="宋体" w:eastAsia="宋体"/>
          <w:color w:val="auto"/>
          <w:sz w:val="21"/>
          <w:szCs w:val="21"/>
          <w:highlight w:val="none"/>
        </w:rPr>
        <w:t>28.纪律和</w:t>
      </w:r>
      <w:r>
        <w:rPr>
          <w:rFonts w:ascii="宋体" w:hAnsi="宋体" w:eastAsia="宋体"/>
          <w:color w:val="auto"/>
          <w:sz w:val="21"/>
          <w:szCs w:val="21"/>
          <w:highlight w:val="none"/>
        </w:rPr>
        <w:t>保密</w:t>
      </w:r>
      <w:bookmarkEnd w:id="64"/>
      <w:r>
        <w:rPr>
          <w:rFonts w:hint="eastAsia" w:ascii="宋体" w:hAnsi="宋体" w:eastAsia="宋体"/>
          <w:color w:val="auto"/>
          <w:sz w:val="21"/>
          <w:szCs w:val="21"/>
          <w:highlight w:val="none"/>
        </w:rPr>
        <w:t>事项</w:t>
      </w:r>
      <w:bookmarkEnd w:id="65"/>
      <w:bookmarkEnd w:id="66"/>
      <w:bookmarkEnd w:id="67"/>
    </w:p>
    <w:p w14:paraId="145895FE">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28.1.</w:t>
      </w:r>
      <w:r>
        <w:rPr>
          <w:rFonts w:hint="eastAsia" w:ascii="宋体" w:hAnsi="宋体" w:eastAsia="宋体"/>
          <w:color w:val="auto"/>
          <w:sz w:val="21"/>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7E0E1956">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28.2.</w:t>
      </w:r>
      <w:r>
        <w:rPr>
          <w:rFonts w:hint="eastAsia" w:ascii="宋体" w:hAnsi="宋体" w:eastAsia="宋体"/>
          <w:color w:val="auto"/>
          <w:sz w:val="21"/>
          <w:szCs w:val="21"/>
          <w:highlight w:val="none"/>
        </w:rPr>
        <w:t>投标人不得串通作弊，以不正当的手段妨碍、排挤其他投标人，扰乱招标市场，破坏公平竞争原则。否则将按相关法律规定严肃处理。</w:t>
      </w:r>
    </w:p>
    <w:p w14:paraId="1FC7CA2B">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28.3.</w:t>
      </w:r>
      <w:r>
        <w:rPr>
          <w:rFonts w:hint="eastAsia" w:ascii="宋体" w:hAnsi="宋体" w:eastAsia="宋体"/>
          <w:color w:val="auto"/>
          <w:sz w:val="21"/>
          <w:szCs w:val="21"/>
          <w:highlight w:val="none"/>
        </w:rPr>
        <w:t>获得本招标文件的投标人，应对文件进行保密，不得用作本次投标以外的任何用途。开标后，投标人应归还招标文件中要求保密的文件和资料。</w:t>
      </w:r>
    </w:p>
    <w:p w14:paraId="1F1EB5C4">
      <w:pPr>
        <w:pageBreakBefore w:val="0"/>
        <w:kinsoku/>
        <w:topLinePunct w:val="0"/>
        <w:autoSpaceDE/>
        <w:autoSpaceDN/>
        <w:bidi w:val="0"/>
        <w:spacing w:line="360" w:lineRule="auto"/>
        <w:rPr>
          <w:color w:val="auto"/>
          <w:highlight w:val="none"/>
        </w:rPr>
      </w:pPr>
    </w:p>
    <w:p w14:paraId="636342DA">
      <w:pPr>
        <w:pStyle w:val="4"/>
        <w:keepNext/>
        <w:keepLines/>
        <w:pageBreakBefore w:val="0"/>
        <w:widowControl/>
        <w:numPr>
          <w:ilvl w:val="0"/>
          <w:numId w:val="2"/>
        </w:numPr>
        <w:kinsoku/>
        <w:wordWrap/>
        <w:overflowPunct/>
        <w:topLinePunct w:val="0"/>
        <w:autoSpaceDE/>
        <w:autoSpaceDN/>
        <w:bidi w:val="0"/>
        <w:adjustRightInd w:val="0"/>
        <w:snapToGrid w:val="0"/>
        <w:spacing w:before="0" w:after="0" w:line="360" w:lineRule="auto"/>
        <w:ind w:left="0" w:firstLine="0"/>
        <w:jc w:val="center"/>
        <w:textAlignment w:val="auto"/>
        <w:rPr>
          <w:rFonts w:ascii="宋体" w:hAnsi="宋体" w:eastAsia="宋体"/>
          <w:color w:val="auto"/>
          <w:highlight w:val="none"/>
        </w:rPr>
      </w:pPr>
      <w:bookmarkStart w:id="68" w:name="_Toc21732"/>
      <w:r>
        <w:rPr>
          <w:rFonts w:hint="eastAsia" w:ascii="宋体" w:hAnsi="宋体" w:eastAsia="宋体"/>
          <w:color w:val="auto"/>
          <w:highlight w:val="none"/>
        </w:rPr>
        <w:t>授予合同</w:t>
      </w:r>
      <w:bookmarkEnd w:id="68"/>
    </w:p>
    <w:p w14:paraId="54DD2FA8">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69" w:name="_Toc508284011"/>
      <w:bookmarkStart w:id="70" w:name="_Toc4954"/>
      <w:r>
        <w:rPr>
          <w:rFonts w:hint="eastAsia" w:ascii="宋体" w:hAnsi="宋体" w:eastAsia="宋体"/>
          <w:color w:val="auto"/>
          <w:sz w:val="21"/>
          <w:szCs w:val="21"/>
          <w:highlight w:val="none"/>
        </w:rPr>
        <w:t>29.</w:t>
      </w:r>
      <w:r>
        <w:rPr>
          <w:rFonts w:ascii="宋体" w:hAnsi="宋体" w:eastAsia="宋体"/>
          <w:color w:val="auto"/>
          <w:sz w:val="21"/>
          <w:szCs w:val="21"/>
          <w:highlight w:val="none"/>
        </w:rPr>
        <w:t>合同授予标准</w:t>
      </w:r>
      <w:bookmarkEnd w:id="69"/>
      <w:bookmarkEnd w:id="70"/>
    </w:p>
    <w:p w14:paraId="56B85713">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29.1.</w:t>
      </w:r>
      <w:r>
        <w:rPr>
          <w:rFonts w:hint="eastAsia" w:ascii="宋体" w:hAnsi="宋体" w:eastAsia="宋体"/>
          <w:color w:val="auto"/>
          <w:sz w:val="21"/>
          <w:szCs w:val="21"/>
          <w:highlight w:val="none"/>
        </w:rPr>
        <w:t>根据评标委员会的评审结果，采购人按照评审报告推荐的中标候选人中按顺序依法确定中标人</w:t>
      </w:r>
      <w:r>
        <w:rPr>
          <w:rFonts w:ascii="宋体" w:hAnsi="宋体" w:eastAsia="宋体"/>
          <w:color w:val="auto"/>
          <w:sz w:val="21"/>
          <w:szCs w:val="21"/>
          <w:highlight w:val="none"/>
        </w:rPr>
        <w:t>。</w:t>
      </w:r>
    </w:p>
    <w:p w14:paraId="15A8A14C">
      <w:pPr>
        <w:pageBreakBefore w:val="0"/>
        <w:kinsoku/>
        <w:wordWrap/>
        <w:topLinePunct w:val="0"/>
        <w:autoSpaceDE/>
        <w:autoSpaceDN/>
        <w:bidi w:val="0"/>
        <w:spacing w:line="400" w:lineRule="exact"/>
        <w:textAlignment w:val="auto"/>
        <w:rPr>
          <w:color w:val="auto"/>
          <w:highlight w:val="none"/>
        </w:rPr>
      </w:pPr>
    </w:p>
    <w:p w14:paraId="7A99748D">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71" w:name="_Toc508284013"/>
      <w:bookmarkStart w:id="72" w:name="_Toc22043"/>
      <w:r>
        <w:rPr>
          <w:rFonts w:hint="eastAsia" w:ascii="宋体" w:hAnsi="宋体" w:eastAsia="宋体"/>
          <w:color w:val="auto"/>
          <w:sz w:val="21"/>
          <w:szCs w:val="21"/>
          <w:highlight w:val="none"/>
        </w:rPr>
        <w:t>30.发布采购结果</w:t>
      </w:r>
      <w:bookmarkEnd w:id="71"/>
      <w:bookmarkEnd w:id="72"/>
    </w:p>
    <w:p w14:paraId="44598906">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30.1.</w:t>
      </w:r>
      <w:r>
        <w:rPr>
          <w:rFonts w:hint="eastAsia" w:ascii="宋体" w:hAnsi="宋体" w:eastAsia="宋体"/>
          <w:color w:val="auto"/>
          <w:sz w:val="21"/>
          <w:szCs w:val="21"/>
          <w:highlight w:val="none"/>
        </w:rPr>
        <w:t>评标委员会提出评标书面报告和推荐中标意见报采购人确认后，采购代理机构将在指定的信息发布媒体上发布公告。</w:t>
      </w:r>
    </w:p>
    <w:p w14:paraId="359C287E">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30.2.</w:t>
      </w:r>
      <w:r>
        <w:rPr>
          <w:rFonts w:hint="eastAsia" w:ascii="宋体" w:hAnsi="宋体" w:eastAsia="宋体"/>
          <w:color w:val="auto"/>
          <w:sz w:val="21"/>
          <w:szCs w:val="21"/>
          <w:highlight w:val="none"/>
        </w:rPr>
        <w:t>中标公告期限为1个工作日。</w:t>
      </w:r>
    </w:p>
    <w:p w14:paraId="23FDDC55">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30.3.</w:t>
      </w:r>
      <w:r>
        <w:rPr>
          <w:rFonts w:hint="eastAsia" w:ascii="宋体" w:hAnsi="宋体" w:eastAsia="宋体"/>
          <w:color w:val="auto"/>
          <w:sz w:val="21"/>
          <w:szCs w:val="21"/>
          <w:highlight w:val="none"/>
          <w:lang w:eastAsia="zh-CN"/>
        </w:rPr>
        <w:t>结果公示发布后，中标单位应及时领取中标通知书。</w:t>
      </w:r>
      <w:r>
        <w:rPr>
          <w:rFonts w:hint="eastAsia" w:ascii="宋体" w:hAnsi="宋体" w:eastAsia="宋体"/>
          <w:color w:val="auto"/>
          <w:sz w:val="21"/>
          <w:szCs w:val="21"/>
          <w:highlight w:val="none"/>
        </w:rPr>
        <w:t>《中标通知书》是合同的一个组成部分，《中标通知书》对采购人和中标人均具有同等法律效力。</w:t>
      </w:r>
    </w:p>
    <w:p w14:paraId="7BC1BF3A">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30.4.</w:t>
      </w:r>
      <w:r>
        <w:rPr>
          <w:rFonts w:hint="eastAsia" w:ascii="宋体" w:hAnsi="宋体" w:eastAsia="宋体"/>
          <w:color w:val="auto"/>
          <w:sz w:val="21"/>
          <w:szCs w:val="21"/>
          <w:highlight w:val="none"/>
        </w:rPr>
        <w:t>中标人无正当理由不得放弃中标</w:t>
      </w:r>
      <w:r>
        <w:rPr>
          <w:rFonts w:hint="eastAsia" w:ascii="宋体" w:hAnsi="宋体" w:eastAsia="宋体"/>
          <w:color w:val="auto"/>
          <w:sz w:val="21"/>
          <w:szCs w:val="21"/>
          <w:highlight w:val="none"/>
          <w:lang w:eastAsia="zh-CN"/>
        </w:rPr>
        <w:t>，因中标人放弃中标而对采购人造成的损失由放弃中标的中标人承担。</w:t>
      </w:r>
    </w:p>
    <w:p w14:paraId="595EC034">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30.5.</w:t>
      </w:r>
      <w:r>
        <w:rPr>
          <w:rFonts w:hint="eastAsia" w:ascii="宋体" w:hAnsi="宋体" w:eastAsia="宋体"/>
          <w:color w:val="auto"/>
          <w:sz w:val="21"/>
          <w:szCs w:val="21"/>
          <w:highlight w:val="none"/>
        </w:rPr>
        <w:t>中标人为残疾人福利性单位的，采购人或者其委托的采购代理机构应当随中标、成交结果同时公告其《残疾人福利性单位声明函》，接受社会监督。</w:t>
      </w:r>
    </w:p>
    <w:p w14:paraId="4DBF0A2E">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b w:val="0"/>
          <w:bCs w:val="0"/>
          <w:color w:val="auto"/>
          <w:sz w:val="21"/>
          <w:szCs w:val="21"/>
          <w:highlight w:val="none"/>
          <w:lang w:eastAsia="zh-CN"/>
        </w:rPr>
      </w:pPr>
      <w:r>
        <w:rPr>
          <w:rFonts w:hint="eastAsia" w:ascii="宋体" w:hAnsi="宋体" w:eastAsia="宋体" w:cstheme="minorBidi"/>
          <w:b w:val="0"/>
          <w:bCs w:val="0"/>
          <w:color w:val="auto"/>
          <w:sz w:val="21"/>
          <w:szCs w:val="21"/>
          <w:highlight w:val="none"/>
          <w:lang w:val="en-US" w:eastAsia="zh-CN" w:bidi="ar-SA"/>
        </w:rPr>
        <w:t>30.6.</w:t>
      </w:r>
      <w:r>
        <w:rPr>
          <w:rFonts w:hint="eastAsia" w:ascii="宋体" w:hAnsi="宋体" w:eastAsia="宋体"/>
          <w:b w:val="0"/>
          <w:bCs w:val="0"/>
          <w:color w:val="auto"/>
          <w:sz w:val="21"/>
          <w:szCs w:val="21"/>
          <w:highlight w:val="none"/>
          <w:lang w:eastAsia="zh-CN"/>
        </w:rPr>
        <w:t>原件核查</w:t>
      </w:r>
    </w:p>
    <w:p w14:paraId="11412FC2">
      <w:pPr>
        <w:pageBreakBefore w:val="0"/>
        <w:widowControl w:val="0"/>
        <w:numPr>
          <w:ilvl w:val="2"/>
          <w:numId w:val="0"/>
        </w:numPr>
        <w:tabs>
          <w:tab w:val="left" w:pos="567"/>
          <w:tab w:val="left" w:pos="907"/>
        </w:tabs>
        <w:kinsoku/>
        <w:wordWrap/>
        <w:topLinePunct w:val="0"/>
        <w:autoSpaceDE/>
        <w:autoSpaceDN/>
        <w:bidi w:val="0"/>
        <w:adjustRightInd/>
        <w:snapToGrid/>
        <w:spacing w:after="0" w:line="400" w:lineRule="exact"/>
        <w:ind w:left="794" w:leftChars="0" w:hanging="794" w:firstLineChars="0"/>
        <w:jc w:val="both"/>
        <w:textAlignment w:val="auto"/>
        <w:rPr>
          <w:rFonts w:hint="eastAsia" w:ascii="宋体" w:hAnsi="宋体" w:eastAsia="宋体"/>
          <w:b w:val="0"/>
          <w:bCs w:val="0"/>
          <w:color w:val="auto"/>
          <w:sz w:val="21"/>
          <w:szCs w:val="21"/>
          <w:highlight w:val="none"/>
          <w:lang w:eastAsia="zh-CN"/>
        </w:rPr>
      </w:pPr>
      <w:r>
        <w:rPr>
          <w:rFonts w:hint="eastAsia" w:ascii="宋体" w:hAnsi="宋体" w:eastAsia="宋体" w:cstheme="minorBidi"/>
          <w:b w:val="0"/>
          <w:bCs w:val="0"/>
          <w:color w:val="auto"/>
          <w:sz w:val="21"/>
          <w:szCs w:val="21"/>
          <w:highlight w:val="none"/>
          <w:lang w:val="en-US" w:eastAsia="zh-CN" w:bidi="ar-SA"/>
        </w:rPr>
        <w:t>30.6.1.</w:t>
      </w:r>
      <w:r>
        <w:rPr>
          <w:rFonts w:hint="eastAsia" w:ascii="宋体" w:hAnsi="宋体" w:eastAsia="宋体"/>
          <w:b w:val="0"/>
          <w:bCs w:val="0"/>
          <w:color w:val="auto"/>
          <w:sz w:val="21"/>
          <w:szCs w:val="21"/>
          <w:highlight w:val="none"/>
          <w:lang w:eastAsia="zh-CN"/>
        </w:rPr>
        <w:t>采购结果发布后，采购代理机构</w:t>
      </w:r>
      <w:r>
        <w:rPr>
          <w:rFonts w:hint="eastAsia" w:ascii="宋体" w:hAnsi="宋体" w:eastAsia="宋体"/>
          <w:b w:val="0"/>
          <w:bCs w:val="0"/>
          <w:color w:val="auto"/>
          <w:sz w:val="21"/>
          <w:szCs w:val="21"/>
          <w:highlight w:val="none"/>
          <w:lang w:val="en-US" w:eastAsia="zh-CN"/>
        </w:rPr>
        <w:t>或采购人有权对</w:t>
      </w:r>
      <w:r>
        <w:rPr>
          <w:rFonts w:hint="eastAsia" w:ascii="宋体" w:hAnsi="宋体" w:eastAsia="宋体"/>
          <w:b w:val="0"/>
          <w:bCs w:val="0"/>
          <w:color w:val="auto"/>
          <w:sz w:val="21"/>
          <w:szCs w:val="21"/>
          <w:highlight w:val="none"/>
          <w:lang w:eastAsia="zh-CN"/>
        </w:rPr>
        <w:t>中标单位</w:t>
      </w:r>
      <w:r>
        <w:rPr>
          <w:rFonts w:hint="eastAsia" w:ascii="宋体" w:hAnsi="宋体" w:eastAsia="宋体"/>
          <w:b w:val="0"/>
          <w:bCs w:val="0"/>
          <w:color w:val="auto"/>
          <w:sz w:val="21"/>
          <w:szCs w:val="21"/>
          <w:highlight w:val="none"/>
          <w:lang w:val="en-US" w:eastAsia="zh-CN"/>
        </w:rPr>
        <w:t>进行原件核查，中标单位应</w:t>
      </w:r>
      <w:r>
        <w:rPr>
          <w:rFonts w:hint="eastAsia" w:ascii="宋体" w:hAnsi="宋体" w:eastAsia="宋体"/>
          <w:b w:val="0"/>
          <w:bCs w:val="0"/>
          <w:color w:val="auto"/>
          <w:sz w:val="21"/>
          <w:szCs w:val="21"/>
          <w:highlight w:val="none"/>
          <w:lang w:eastAsia="zh-CN"/>
        </w:rPr>
        <w:t>在五个工作日</w:t>
      </w:r>
      <w:r>
        <w:rPr>
          <w:rFonts w:hint="eastAsia" w:ascii="宋体" w:hAnsi="宋体" w:eastAsia="宋体"/>
          <w:b w:val="0"/>
          <w:bCs w:val="0"/>
          <w:color w:val="auto"/>
          <w:sz w:val="21"/>
          <w:szCs w:val="21"/>
          <w:highlight w:val="none"/>
          <w:lang w:val="en-US" w:eastAsia="zh-CN"/>
        </w:rPr>
        <w:t>内把相关原件递交至采购代理机构</w:t>
      </w:r>
      <w:r>
        <w:rPr>
          <w:rFonts w:hint="eastAsia" w:ascii="宋体" w:hAnsi="宋体" w:eastAsia="宋体"/>
          <w:b w:val="0"/>
          <w:bCs w:val="0"/>
          <w:color w:val="auto"/>
          <w:sz w:val="21"/>
          <w:szCs w:val="21"/>
          <w:highlight w:val="none"/>
          <w:lang w:eastAsia="zh-CN"/>
        </w:rPr>
        <w:t>办公地址或采购人指定地址进行核查。</w:t>
      </w:r>
    </w:p>
    <w:p w14:paraId="029F149A">
      <w:pPr>
        <w:pageBreakBefore w:val="0"/>
        <w:widowControl w:val="0"/>
        <w:numPr>
          <w:ilvl w:val="2"/>
          <w:numId w:val="0"/>
        </w:numPr>
        <w:tabs>
          <w:tab w:val="left" w:pos="567"/>
          <w:tab w:val="left" w:pos="907"/>
        </w:tabs>
        <w:kinsoku/>
        <w:wordWrap/>
        <w:topLinePunct w:val="0"/>
        <w:autoSpaceDE/>
        <w:autoSpaceDN/>
        <w:bidi w:val="0"/>
        <w:adjustRightInd/>
        <w:snapToGrid/>
        <w:spacing w:after="0" w:line="400" w:lineRule="exact"/>
        <w:ind w:left="794" w:leftChars="0" w:hanging="794" w:firstLineChars="0"/>
        <w:jc w:val="both"/>
        <w:textAlignment w:val="auto"/>
        <w:rPr>
          <w:rFonts w:hint="eastAsia" w:ascii="宋体" w:hAnsi="宋体" w:eastAsia="宋体"/>
          <w:b w:val="0"/>
          <w:bCs w:val="0"/>
          <w:color w:val="auto"/>
          <w:sz w:val="21"/>
          <w:szCs w:val="21"/>
          <w:highlight w:val="none"/>
          <w:lang w:eastAsia="zh-CN"/>
        </w:rPr>
      </w:pPr>
      <w:r>
        <w:rPr>
          <w:rFonts w:hint="eastAsia" w:ascii="宋体" w:hAnsi="宋体" w:eastAsia="宋体" w:cstheme="minorBidi"/>
          <w:b w:val="0"/>
          <w:bCs w:val="0"/>
          <w:color w:val="auto"/>
          <w:sz w:val="21"/>
          <w:szCs w:val="21"/>
          <w:highlight w:val="none"/>
          <w:lang w:val="en-US" w:eastAsia="zh-CN" w:bidi="ar-SA"/>
        </w:rPr>
        <w:t>30.6.2.</w:t>
      </w:r>
      <w:r>
        <w:rPr>
          <w:rFonts w:hint="eastAsia" w:ascii="宋体" w:hAnsi="宋体" w:eastAsia="宋体"/>
          <w:b w:val="0"/>
          <w:bCs w:val="0"/>
          <w:color w:val="auto"/>
          <w:sz w:val="21"/>
          <w:szCs w:val="21"/>
          <w:highlight w:val="none"/>
          <w:lang w:eastAsia="zh-CN"/>
        </w:rPr>
        <w:t>中标单位有下列情形之一的，取消中标资格：</w:t>
      </w:r>
    </w:p>
    <w:p w14:paraId="46A3A207">
      <w:pPr>
        <w:pageBreakBefore w:val="0"/>
        <w:widowControl w:val="0"/>
        <w:numPr>
          <w:ilvl w:val="0"/>
          <w:numId w:val="5"/>
        </w:numPr>
        <w:tabs>
          <w:tab w:val="left" w:pos="567"/>
          <w:tab w:val="left" w:pos="907"/>
        </w:tabs>
        <w:kinsoku/>
        <w:wordWrap/>
        <w:topLinePunct w:val="0"/>
        <w:autoSpaceDE/>
        <w:autoSpaceDN/>
        <w:bidi w:val="0"/>
        <w:adjustRightInd/>
        <w:snapToGrid/>
        <w:spacing w:after="0" w:line="400" w:lineRule="exact"/>
        <w:ind w:left="660" w:leftChars="0" w:firstLineChars="0"/>
        <w:jc w:val="both"/>
        <w:textAlignment w:val="auto"/>
        <w:rPr>
          <w:rFonts w:hint="eastAsia" w:ascii="宋体" w:hAnsi="宋体" w:eastAsia="宋体"/>
          <w:b w:val="0"/>
          <w:bCs w:val="0"/>
          <w:color w:val="auto"/>
          <w:sz w:val="21"/>
          <w:szCs w:val="21"/>
          <w:highlight w:val="none"/>
          <w:lang w:eastAsia="zh-CN"/>
        </w:rPr>
      </w:pPr>
      <w:r>
        <w:rPr>
          <w:rFonts w:hint="eastAsia" w:ascii="宋体" w:hAnsi="宋体" w:eastAsia="宋体"/>
          <w:b w:val="0"/>
          <w:bCs w:val="0"/>
          <w:color w:val="auto"/>
          <w:sz w:val="21"/>
          <w:szCs w:val="21"/>
          <w:highlight w:val="none"/>
          <w:lang w:eastAsia="zh-CN"/>
        </w:rPr>
        <w:t>拒绝采购人或采购代理机构原件核查要求的；</w:t>
      </w:r>
    </w:p>
    <w:p w14:paraId="0A5DB313">
      <w:pPr>
        <w:pageBreakBefore w:val="0"/>
        <w:widowControl w:val="0"/>
        <w:numPr>
          <w:ilvl w:val="0"/>
          <w:numId w:val="5"/>
        </w:numPr>
        <w:tabs>
          <w:tab w:val="left" w:pos="567"/>
          <w:tab w:val="left" w:pos="907"/>
        </w:tabs>
        <w:kinsoku/>
        <w:wordWrap/>
        <w:topLinePunct w:val="0"/>
        <w:autoSpaceDE/>
        <w:autoSpaceDN/>
        <w:bidi w:val="0"/>
        <w:adjustRightInd/>
        <w:snapToGrid/>
        <w:spacing w:after="0" w:line="400" w:lineRule="exact"/>
        <w:ind w:left="660" w:leftChars="0" w:firstLineChars="0"/>
        <w:jc w:val="both"/>
        <w:textAlignment w:val="auto"/>
        <w:rPr>
          <w:rFonts w:hint="eastAsia" w:ascii="宋体" w:hAnsi="宋体" w:eastAsia="宋体"/>
          <w:b w:val="0"/>
          <w:bCs w:val="0"/>
          <w:color w:val="auto"/>
          <w:sz w:val="21"/>
          <w:szCs w:val="21"/>
          <w:highlight w:val="none"/>
          <w:lang w:eastAsia="zh-CN"/>
        </w:rPr>
      </w:pPr>
      <w:r>
        <w:rPr>
          <w:rFonts w:hint="eastAsia" w:ascii="宋体" w:hAnsi="宋体" w:eastAsia="宋体"/>
          <w:b w:val="0"/>
          <w:bCs w:val="0"/>
          <w:color w:val="auto"/>
          <w:sz w:val="21"/>
          <w:szCs w:val="21"/>
          <w:highlight w:val="none"/>
          <w:lang w:eastAsia="zh-CN"/>
        </w:rPr>
        <w:t>未在规定时间内将原件递交到到采购代理机构办公地址或采购人指定地址进行核查的；</w:t>
      </w:r>
    </w:p>
    <w:p w14:paraId="618B5404">
      <w:pPr>
        <w:pageBreakBefore w:val="0"/>
        <w:widowControl w:val="0"/>
        <w:numPr>
          <w:ilvl w:val="0"/>
          <w:numId w:val="5"/>
        </w:numPr>
        <w:tabs>
          <w:tab w:val="left" w:pos="567"/>
          <w:tab w:val="left" w:pos="907"/>
        </w:tabs>
        <w:kinsoku/>
        <w:wordWrap/>
        <w:topLinePunct w:val="0"/>
        <w:autoSpaceDE/>
        <w:autoSpaceDN/>
        <w:bidi w:val="0"/>
        <w:adjustRightInd/>
        <w:snapToGrid/>
        <w:spacing w:after="0" w:line="400" w:lineRule="exact"/>
        <w:ind w:left="660" w:leftChars="0" w:firstLineChars="0"/>
        <w:jc w:val="both"/>
        <w:textAlignment w:val="auto"/>
        <w:rPr>
          <w:rFonts w:hint="eastAsia" w:ascii="宋体" w:hAnsi="宋体" w:eastAsia="宋体"/>
          <w:b w:val="0"/>
          <w:bCs w:val="0"/>
          <w:color w:val="auto"/>
          <w:sz w:val="21"/>
          <w:szCs w:val="21"/>
          <w:highlight w:val="none"/>
          <w:lang w:eastAsia="zh-CN"/>
        </w:rPr>
      </w:pPr>
      <w:r>
        <w:rPr>
          <w:rFonts w:hint="eastAsia" w:ascii="宋体" w:hAnsi="宋体" w:eastAsia="宋体"/>
          <w:b w:val="0"/>
          <w:bCs w:val="0"/>
          <w:color w:val="auto"/>
          <w:sz w:val="21"/>
          <w:szCs w:val="21"/>
          <w:highlight w:val="none"/>
          <w:lang w:eastAsia="zh-CN"/>
        </w:rPr>
        <w:t>在规定时间内递交的原件数量、内容与采购人、采购代理机构要求不一致的；</w:t>
      </w:r>
    </w:p>
    <w:p w14:paraId="025FD92E">
      <w:pPr>
        <w:pageBreakBefore w:val="0"/>
        <w:widowControl w:val="0"/>
        <w:numPr>
          <w:ilvl w:val="0"/>
          <w:numId w:val="5"/>
        </w:numPr>
        <w:tabs>
          <w:tab w:val="left" w:pos="567"/>
          <w:tab w:val="left" w:pos="907"/>
        </w:tabs>
        <w:kinsoku/>
        <w:wordWrap/>
        <w:topLinePunct w:val="0"/>
        <w:autoSpaceDE/>
        <w:autoSpaceDN/>
        <w:bidi w:val="0"/>
        <w:adjustRightInd/>
        <w:snapToGrid/>
        <w:spacing w:after="0" w:line="400" w:lineRule="exact"/>
        <w:ind w:left="660" w:leftChars="0" w:firstLineChars="0"/>
        <w:jc w:val="both"/>
        <w:textAlignment w:val="auto"/>
        <w:rPr>
          <w:rFonts w:hint="eastAsia" w:ascii="宋体" w:hAnsi="宋体" w:eastAsia="宋体"/>
          <w:b w:val="0"/>
          <w:bCs w:val="0"/>
          <w:color w:val="auto"/>
          <w:sz w:val="21"/>
          <w:szCs w:val="21"/>
          <w:highlight w:val="none"/>
          <w:lang w:eastAsia="zh-CN"/>
        </w:rPr>
      </w:pPr>
      <w:r>
        <w:rPr>
          <w:rFonts w:hint="eastAsia" w:ascii="宋体" w:hAnsi="宋体" w:eastAsia="宋体"/>
          <w:b w:val="0"/>
          <w:bCs w:val="0"/>
          <w:color w:val="auto"/>
          <w:sz w:val="21"/>
          <w:szCs w:val="21"/>
          <w:highlight w:val="none"/>
          <w:lang w:val="en-US" w:eastAsia="zh-CN"/>
        </w:rPr>
        <w:t>因原件续期、更改等原因不能按时递交原件且未能在规定时间内提供相应部门开具的变更、续期等证明的；</w:t>
      </w:r>
    </w:p>
    <w:p w14:paraId="49C3EB9F">
      <w:pPr>
        <w:pageBreakBefore w:val="0"/>
        <w:widowControl w:val="0"/>
        <w:numPr>
          <w:ilvl w:val="0"/>
          <w:numId w:val="5"/>
        </w:numPr>
        <w:tabs>
          <w:tab w:val="left" w:pos="567"/>
          <w:tab w:val="left" w:pos="907"/>
        </w:tabs>
        <w:kinsoku/>
        <w:wordWrap/>
        <w:topLinePunct w:val="0"/>
        <w:autoSpaceDE/>
        <w:autoSpaceDN/>
        <w:bidi w:val="0"/>
        <w:adjustRightInd/>
        <w:snapToGrid/>
        <w:spacing w:after="0" w:line="400" w:lineRule="exact"/>
        <w:ind w:left="660" w:leftChars="0" w:firstLineChars="0"/>
        <w:jc w:val="both"/>
        <w:textAlignment w:val="auto"/>
        <w:rPr>
          <w:rFonts w:hint="eastAsia" w:ascii="宋体" w:hAnsi="宋体" w:eastAsia="宋体"/>
          <w:b w:val="0"/>
          <w:bCs w:val="0"/>
          <w:color w:val="auto"/>
          <w:sz w:val="21"/>
          <w:szCs w:val="21"/>
          <w:highlight w:val="none"/>
          <w:lang w:eastAsia="zh-CN"/>
        </w:rPr>
      </w:pPr>
      <w:r>
        <w:rPr>
          <w:rFonts w:hint="eastAsia" w:ascii="宋体" w:hAnsi="宋体" w:eastAsia="宋体"/>
          <w:b w:val="0"/>
          <w:bCs w:val="0"/>
          <w:color w:val="auto"/>
          <w:sz w:val="21"/>
          <w:szCs w:val="21"/>
          <w:highlight w:val="none"/>
          <w:lang w:eastAsia="zh-CN"/>
        </w:rPr>
        <w:t>经查原件，投标文件内容有造假行为的。</w:t>
      </w:r>
    </w:p>
    <w:p w14:paraId="13B972B3">
      <w:pPr>
        <w:pageBreakBefore w:val="0"/>
        <w:widowControl w:val="0"/>
        <w:numPr>
          <w:ilvl w:val="2"/>
          <w:numId w:val="0"/>
        </w:numPr>
        <w:tabs>
          <w:tab w:val="left" w:pos="567"/>
          <w:tab w:val="left" w:pos="907"/>
        </w:tabs>
        <w:kinsoku/>
        <w:wordWrap/>
        <w:topLinePunct w:val="0"/>
        <w:autoSpaceDE/>
        <w:autoSpaceDN/>
        <w:bidi w:val="0"/>
        <w:adjustRightInd/>
        <w:snapToGrid/>
        <w:spacing w:after="0" w:line="400" w:lineRule="exact"/>
        <w:ind w:left="794" w:leftChars="0" w:hanging="794" w:firstLineChars="0"/>
        <w:jc w:val="both"/>
        <w:textAlignment w:val="auto"/>
        <w:rPr>
          <w:rFonts w:hint="eastAsia" w:ascii="宋体" w:hAnsi="宋体" w:eastAsia="宋体"/>
          <w:b w:val="0"/>
          <w:bCs w:val="0"/>
          <w:color w:val="auto"/>
          <w:sz w:val="21"/>
          <w:szCs w:val="21"/>
          <w:highlight w:val="none"/>
          <w:lang w:eastAsia="zh-CN"/>
        </w:rPr>
      </w:pPr>
      <w:r>
        <w:rPr>
          <w:rFonts w:hint="eastAsia" w:ascii="宋体" w:hAnsi="宋体" w:eastAsia="宋体" w:cstheme="minorBidi"/>
          <w:b w:val="0"/>
          <w:bCs w:val="0"/>
          <w:color w:val="auto"/>
          <w:sz w:val="21"/>
          <w:szCs w:val="21"/>
          <w:highlight w:val="none"/>
          <w:lang w:val="en-US" w:eastAsia="zh-CN" w:bidi="ar-SA"/>
        </w:rPr>
        <w:t>30.6.3.</w:t>
      </w:r>
      <w:r>
        <w:rPr>
          <w:rFonts w:hint="eastAsia" w:ascii="宋体" w:hAnsi="宋体" w:eastAsia="宋体"/>
          <w:b w:val="0"/>
          <w:bCs w:val="0"/>
          <w:color w:val="auto"/>
          <w:sz w:val="21"/>
          <w:szCs w:val="21"/>
          <w:highlight w:val="none"/>
          <w:lang w:eastAsia="zh-CN"/>
        </w:rPr>
        <w:t>采购结果发布后，采购代理机构</w:t>
      </w:r>
      <w:r>
        <w:rPr>
          <w:rFonts w:hint="eastAsia" w:ascii="宋体" w:hAnsi="宋体" w:eastAsia="宋体"/>
          <w:b w:val="0"/>
          <w:bCs w:val="0"/>
          <w:color w:val="auto"/>
          <w:sz w:val="21"/>
          <w:szCs w:val="21"/>
          <w:highlight w:val="none"/>
          <w:lang w:val="en-US" w:eastAsia="zh-CN"/>
        </w:rPr>
        <w:t>或</w:t>
      </w:r>
      <w:r>
        <w:rPr>
          <w:rFonts w:hint="eastAsia" w:ascii="宋体" w:hAnsi="宋体" w:eastAsia="宋体"/>
          <w:b w:val="0"/>
          <w:bCs w:val="0"/>
          <w:color w:val="auto"/>
          <w:sz w:val="21"/>
          <w:szCs w:val="21"/>
          <w:highlight w:val="none"/>
          <w:lang w:eastAsia="zh-CN"/>
        </w:rPr>
        <w:t>采购人有权对递交了投标文件的未中标投标人进行原件核查。投标人应在采购代理机构或采购人发出纸质通知五个工作日内将原件递交到采购代理机构办公地址或采购人指定地址进行核查。</w:t>
      </w:r>
    </w:p>
    <w:p w14:paraId="4DDEF64D">
      <w:pPr>
        <w:pageBreakBefore w:val="0"/>
        <w:widowControl w:val="0"/>
        <w:numPr>
          <w:ilvl w:val="2"/>
          <w:numId w:val="0"/>
        </w:numPr>
        <w:tabs>
          <w:tab w:val="left" w:pos="567"/>
          <w:tab w:val="left" w:pos="907"/>
        </w:tabs>
        <w:kinsoku/>
        <w:wordWrap/>
        <w:topLinePunct w:val="0"/>
        <w:autoSpaceDE/>
        <w:autoSpaceDN/>
        <w:bidi w:val="0"/>
        <w:adjustRightInd/>
        <w:snapToGrid/>
        <w:spacing w:after="0" w:line="400" w:lineRule="exact"/>
        <w:ind w:left="794" w:leftChars="0" w:hanging="794" w:firstLineChars="0"/>
        <w:jc w:val="both"/>
        <w:textAlignment w:val="auto"/>
        <w:rPr>
          <w:rFonts w:hint="eastAsia" w:ascii="宋体" w:hAnsi="宋体" w:eastAsia="宋体"/>
          <w:b/>
          <w:bCs/>
          <w:color w:val="auto"/>
          <w:sz w:val="21"/>
          <w:szCs w:val="21"/>
          <w:highlight w:val="none"/>
          <w:lang w:eastAsia="zh-CN"/>
        </w:rPr>
      </w:pPr>
      <w:r>
        <w:rPr>
          <w:rFonts w:hint="eastAsia" w:ascii="宋体" w:hAnsi="宋体" w:eastAsia="宋体" w:cstheme="minorBidi"/>
          <w:b/>
          <w:bCs/>
          <w:color w:val="auto"/>
          <w:sz w:val="21"/>
          <w:szCs w:val="21"/>
          <w:highlight w:val="none"/>
          <w:lang w:val="en-US" w:eastAsia="zh-CN" w:bidi="ar-SA"/>
        </w:rPr>
        <w:t>30.6.4.</w:t>
      </w:r>
      <w:r>
        <w:rPr>
          <w:rFonts w:hint="eastAsia" w:ascii="宋体" w:hAnsi="宋体" w:eastAsia="宋体"/>
          <w:b/>
          <w:bCs/>
          <w:color w:val="auto"/>
          <w:sz w:val="21"/>
          <w:szCs w:val="21"/>
          <w:highlight w:val="none"/>
          <w:lang w:eastAsia="zh-CN"/>
        </w:rPr>
        <w:t>若投标人出现虚假应标情况，投标文件作无效处理，其投标、中标无效。并参照相关法律上报相关监管部门。</w:t>
      </w:r>
    </w:p>
    <w:p w14:paraId="3AF79E6E">
      <w:pPr>
        <w:pageBreakBefore w:val="0"/>
        <w:widowControl w:val="0"/>
        <w:numPr>
          <w:ilvl w:val="2"/>
          <w:numId w:val="0"/>
        </w:numPr>
        <w:tabs>
          <w:tab w:val="left" w:pos="567"/>
          <w:tab w:val="left" w:pos="907"/>
        </w:tabs>
        <w:kinsoku/>
        <w:wordWrap/>
        <w:topLinePunct w:val="0"/>
        <w:autoSpaceDE/>
        <w:autoSpaceDN/>
        <w:bidi w:val="0"/>
        <w:adjustRightInd/>
        <w:snapToGrid/>
        <w:spacing w:after="0" w:line="400" w:lineRule="exact"/>
        <w:ind w:left="794" w:leftChars="0" w:hanging="794" w:firstLineChars="0"/>
        <w:jc w:val="both"/>
        <w:textAlignment w:val="auto"/>
        <w:rPr>
          <w:rFonts w:hint="eastAsia"/>
          <w:b w:val="0"/>
          <w:bCs w:val="0"/>
          <w:color w:val="auto"/>
          <w:highlight w:val="none"/>
          <w:lang w:eastAsia="zh-CN"/>
        </w:rPr>
      </w:pPr>
      <w:r>
        <w:rPr>
          <w:rFonts w:hint="eastAsia" w:ascii="宋体" w:hAnsi="宋体" w:eastAsia="宋体" w:cstheme="minorBidi"/>
          <w:b w:val="0"/>
          <w:bCs w:val="0"/>
          <w:color w:val="auto"/>
          <w:sz w:val="22"/>
          <w:szCs w:val="22"/>
          <w:highlight w:val="none"/>
          <w:lang w:val="en-US" w:eastAsia="zh-CN" w:bidi="ar-SA"/>
        </w:rPr>
        <w:t>30.6.5.</w:t>
      </w:r>
      <w:r>
        <w:rPr>
          <w:rFonts w:hint="eastAsia" w:ascii="宋体" w:hAnsi="宋体" w:eastAsia="宋体"/>
          <w:b w:val="0"/>
          <w:bCs w:val="0"/>
          <w:color w:val="auto"/>
          <w:sz w:val="21"/>
          <w:szCs w:val="21"/>
          <w:highlight w:val="none"/>
          <w:lang w:eastAsia="zh-CN"/>
        </w:rPr>
        <w:t>属于建办市函[2016]462号通知内的证件可不提供原件，仅提供带二维码原件的复印件即可。</w:t>
      </w:r>
    </w:p>
    <w:p w14:paraId="6C743373">
      <w:pPr>
        <w:pageBreakBefore w:val="0"/>
        <w:kinsoku/>
        <w:wordWrap/>
        <w:topLinePunct w:val="0"/>
        <w:autoSpaceDE/>
        <w:autoSpaceDN/>
        <w:bidi w:val="0"/>
        <w:spacing w:line="400" w:lineRule="exact"/>
        <w:textAlignment w:val="auto"/>
        <w:rPr>
          <w:color w:val="auto"/>
          <w:highlight w:val="none"/>
        </w:rPr>
      </w:pPr>
    </w:p>
    <w:p w14:paraId="1D517643">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73" w:name="_Toc8411"/>
      <w:r>
        <w:rPr>
          <w:rFonts w:hint="eastAsia" w:ascii="宋体" w:hAnsi="宋体" w:eastAsia="宋体"/>
          <w:color w:val="auto"/>
          <w:sz w:val="21"/>
          <w:szCs w:val="21"/>
          <w:highlight w:val="none"/>
        </w:rPr>
        <w:t>31.合同的签订与履行</w:t>
      </w:r>
      <w:bookmarkEnd w:id="73"/>
    </w:p>
    <w:p w14:paraId="1FAB3888">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31.1.</w:t>
      </w:r>
      <w:r>
        <w:rPr>
          <w:rFonts w:hint="eastAsia" w:ascii="宋体" w:hAnsi="宋体" w:eastAsia="宋体"/>
          <w:color w:val="auto"/>
          <w:sz w:val="21"/>
          <w:szCs w:val="21"/>
          <w:highlight w:val="none"/>
        </w:rPr>
        <w:t>采购人应当自采购结果公示发出之日起30日内，按照招标文件和中标人投标文件的规定，与中标人签订书面合同。所签订的合同不得对招标文件确定的事项和中标人投标文件作实质性修改。</w:t>
      </w:r>
    </w:p>
    <w:p w14:paraId="29BD2D4C">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31.2.</w:t>
      </w:r>
      <w:r>
        <w:rPr>
          <w:rFonts w:hint="eastAsia" w:ascii="宋体" w:hAnsi="宋体" w:eastAsia="宋体"/>
          <w:color w:val="auto"/>
          <w:sz w:val="21"/>
          <w:szCs w:val="21"/>
          <w:highlight w:val="none"/>
        </w:rPr>
        <w:t>采购人与中标人应当根据合同的约定依法履行合同义务。</w:t>
      </w:r>
    </w:p>
    <w:p w14:paraId="2ED06E54">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31.3.</w:t>
      </w:r>
      <w:r>
        <w:rPr>
          <w:rFonts w:hint="eastAsia" w:ascii="宋体" w:hAnsi="宋体" w:eastAsia="宋体"/>
          <w:color w:val="auto"/>
          <w:sz w:val="21"/>
          <w:szCs w:val="21"/>
          <w:highlight w:val="none"/>
        </w:rPr>
        <w:t>政府采购合同的履行、违约责任和解决争议的方法等适用《中华人民共和国</w:t>
      </w:r>
      <w:r>
        <w:rPr>
          <w:rFonts w:hint="eastAsia" w:ascii="宋体" w:hAnsi="宋体" w:eastAsia="宋体"/>
          <w:color w:val="auto"/>
          <w:sz w:val="21"/>
          <w:szCs w:val="21"/>
          <w:highlight w:val="none"/>
          <w:lang w:eastAsia="zh-CN"/>
        </w:rPr>
        <w:t>民法典</w:t>
      </w:r>
      <w:r>
        <w:rPr>
          <w:rFonts w:hint="eastAsia" w:ascii="宋体" w:hAnsi="宋体" w:eastAsia="宋体"/>
          <w:color w:val="auto"/>
          <w:sz w:val="21"/>
          <w:szCs w:val="21"/>
          <w:highlight w:val="none"/>
        </w:rPr>
        <w:t>》。</w:t>
      </w:r>
    </w:p>
    <w:p w14:paraId="7BA7AA18">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b/>
          <w:color w:val="auto"/>
          <w:sz w:val="21"/>
          <w:szCs w:val="21"/>
          <w:highlight w:val="none"/>
        </w:rPr>
      </w:pPr>
      <w:r>
        <w:rPr>
          <w:rFonts w:hint="eastAsia" w:ascii="宋体" w:hAnsi="宋体" w:eastAsia="宋体" w:cstheme="minorBidi"/>
          <w:b/>
          <w:color w:val="auto"/>
          <w:sz w:val="21"/>
          <w:szCs w:val="21"/>
          <w:highlight w:val="none"/>
          <w:lang w:val="en-US" w:eastAsia="zh-CN" w:bidi="ar-SA"/>
        </w:rPr>
        <w:t>31.4.</w:t>
      </w:r>
      <w:r>
        <w:rPr>
          <w:rFonts w:hint="eastAsia" w:ascii="宋体" w:hAnsi="宋体" w:eastAsia="宋体"/>
          <w:b/>
          <w:color w:val="auto"/>
          <w:sz w:val="21"/>
          <w:szCs w:val="21"/>
          <w:highlight w:val="none"/>
        </w:rPr>
        <w:t>合同签订之日起2个工作日内，中标人应将所签订的合同副本（加盖公章）交至三方诚信招标有限公司东莞分公司归档。</w:t>
      </w:r>
    </w:p>
    <w:p w14:paraId="6B135EA9">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31.5.</w:t>
      </w:r>
      <w:r>
        <w:rPr>
          <w:rFonts w:hint="eastAsia" w:ascii="宋体" w:hAnsi="宋体" w:eastAsia="宋体"/>
          <w:color w:val="auto"/>
          <w:sz w:val="21"/>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6137EC71">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lang w:eastAsia="zh-CN"/>
        </w:rPr>
      </w:pPr>
      <w:r>
        <w:rPr>
          <w:rFonts w:hint="eastAsia" w:ascii="宋体" w:hAnsi="宋体" w:eastAsia="宋体" w:cstheme="minorBidi"/>
          <w:color w:val="auto"/>
          <w:sz w:val="21"/>
          <w:szCs w:val="21"/>
          <w:highlight w:val="none"/>
          <w:lang w:val="en-US" w:eastAsia="zh-CN" w:bidi="ar-SA"/>
        </w:rPr>
        <w:t>31.6.</w:t>
      </w:r>
      <w:r>
        <w:rPr>
          <w:rFonts w:hint="eastAsia" w:ascii="宋体" w:hAnsi="宋体" w:eastAsia="宋体"/>
          <w:color w:val="auto"/>
          <w:sz w:val="21"/>
          <w:szCs w:val="21"/>
          <w:highlight w:val="none"/>
        </w:rPr>
        <w:t>中标投标人在评审结束当天至合同履行结束，若因不可抗力的因素（如国家出台新法律法规等）造</w:t>
      </w:r>
      <w:r>
        <w:rPr>
          <w:rFonts w:hint="eastAsia" w:ascii="宋体" w:hAnsi="宋体" w:eastAsia="宋体"/>
          <w:color w:val="auto"/>
          <w:sz w:val="21"/>
          <w:szCs w:val="21"/>
          <w:highlight w:val="none"/>
          <w:lang w:eastAsia="zh-CN"/>
        </w:rPr>
        <w:t>成投标人资质的变动，投标人应以纸质版形式通知采购人。若资质变动导致中标投标人不再具备履行合同资质要求，采购人有权中止合同。</w:t>
      </w:r>
    </w:p>
    <w:p w14:paraId="76D2D258">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hint="eastAsia" w:ascii="宋体" w:hAnsi="宋体" w:eastAsia="宋体"/>
          <w:color w:val="auto"/>
          <w:sz w:val="21"/>
          <w:szCs w:val="21"/>
          <w:highlight w:val="none"/>
          <w:lang w:eastAsia="zh-CN"/>
        </w:rPr>
      </w:pPr>
      <w:r>
        <w:rPr>
          <w:rFonts w:hint="eastAsia" w:ascii="宋体" w:hAnsi="宋体" w:eastAsia="宋体" w:cstheme="minorBidi"/>
          <w:color w:val="auto"/>
          <w:sz w:val="21"/>
          <w:szCs w:val="21"/>
          <w:highlight w:val="none"/>
          <w:lang w:val="en-US" w:eastAsia="zh-CN" w:bidi="ar-SA"/>
        </w:rPr>
        <w:t>31.7.</w:t>
      </w:r>
      <w:r>
        <w:rPr>
          <w:rFonts w:hint="eastAsia" w:ascii="宋体" w:hAnsi="宋体" w:eastAsia="宋体"/>
          <w:color w:val="auto"/>
          <w:sz w:val="21"/>
          <w:szCs w:val="21"/>
          <w:highlight w:val="none"/>
          <w:lang w:eastAsia="zh-CN"/>
        </w:rPr>
        <w:t>中标人拒绝与采购人签订合同的，采购人可以按照评审报告推荐的中标候选人名单排序，确定下一候选人为中标人，也可以重新开展政府采购活动。</w:t>
      </w:r>
    </w:p>
    <w:p w14:paraId="422061D4">
      <w:pPr>
        <w:pageBreakBefore w:val="0"/>
        <w:kinsoku/>
        <w:wordWrap/>
        <w:topLinePunct w:val="0"/>
        <w:autoSpaceDE/>
        <w:autoSpaceDN/>
        <w:bidi w:val="0"/>
        <w:spacing w:line="400" w:lineRule="exact"/>
        <w:textAlignment w:val="auto"/>
        <w:rPr>
          <w:color w:val="auto"/>
          <w:highlight w:val="none"/>
        </w:rPr>
      </w:pPr>
    </w:p>
    <w:p w14:paraId="7397A6ED">
      <w:pPr>
        <w:pStyle w:val="5"/>
        <w:pageBreakBefore w:val="0"/>
        <w:widowControl w:val="0"/>
        <w:kinsoku/>
        <w:wordWrap/>
        <w:overflowPunct w:val="0"/>
        <w:topLinePunct w:val="0"/>
        <w:autoSpaceDE/>
        <w:autoSpaceDN/>
        <w:bidi w:val="0"/>
        <w:spacing w:before="0" w:after="0" w:line="400" w:lineRule="exact"/>
        <w:textAlignment w:val="auto"/>
        <w:rPr>
          <w:rFonts w:hint="eastAsia" w:ascii="宋体" w:hAnsi="宋体" w:eastAsia="宋体"/>
          <w:color w:val="auto"/>
          <w:sz w:val="21"/>
          <w:szCs w:val="21"/>
          <w:highlight w:val="none"/>
          <w:lang w:eastAsia="zh-CN"/>
        </w:rPr>
      </w:pPr>
      <w:bookmarkStart w:id="74" w:name="_Toc382049124"/>
      <w:bookmarkStart w:id="75" w:name="_Toc8004"/>
      <w:bookmarkStart w:id="76" w:name="_Toc303084277"/>
      <w:bookmarkStart w:id="77" w:name="_Toc29009"/>
      <w:r>
        <w:rPr>
          <w:rFonts w:hint="eastAsia" w:ascii="宋体" w:hAnsi="宋体" w:eastAsia="宋体"/>
          <w:color w:val="auto"/>
          <w:sz w:val="21"/>
          <w:szCs w:val="21"/>
          <w:highlight w:val="none"/>
        </w:rPr>
        <w:t>32.</w:t>
      </w:r>
      <w:r>
        <w:rPr>
          <w:rFonts w:ascii="宋体" w:hAnsi="宋体" w:eastAsia="宋体"/>
          <w:color w:val="auto"/>
          <w:sz w:val="21"/>
          <w:szCs w:val="21"/>
          <w:highlight w:val="none"/>
        </w:rPr>
        <w:t>履约</w:t>
      </w:r>
      <w:r>
        <w:rPr>
          <w:rFonts w:hint="eastAsia" w:ascii="宋体" w:hAnsi="宋体" w:eastAsia="宋体"/>
          <w:color w:val="auto"/>
          <w:sz w:val="21"/>
          <w:szCs w:val="21"/>
          <w:highlight w:val="none"/>
        </w:rPr>
        <w:t>保证金</w:t>
      </w:r>
      <w:bookmarkEnd w:id="74"/>
      <w:bookmarkEnd w:id="75"/>
      <w:bookmarkEnd w:id="76"/>
      <w:bookmarkEnd w:id="77"/>
      <w:r>
        <w:rPr>
          <w:rFonts w:hint="eastAsia" w:ascii="宋体" w:hAnsi="宋体" w:eastAsia="宋体"/>
          <w:color w:val="auto"/>
          <w:sz w:val="21"/>
          <w:szCs w:val="21"/>
          <w:highlight w:val="none"/>
          <w:lang w:eastAsia="zh-CN"/>
        </w:rPr>
        <w:t>（如有）</w:t>
      </w:r>
    </w:p>
    <w:p w14:paraId="54094E0E">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32.1.</w:t>
      </w:r>
      <w:r>
        <w:rPr>
          <w:rFonts w:hint="eastAsia" w:ascii="宋体" w:hAnsi="宋体" w:eastAsia="宋体"/>
          <w:color w:val="auto"/>
          <w:sz w:val="21"/>
          <w:szCs w:val="21"/>
          <w:highlight w:val="none"/>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14:paraId="3ACD33F1">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32.2.</w:t>
      </w:r>
      <w:r>
        <w:rPr>
          <w:rFonts w:hint="eastAsia" w:ascii="宋体" w:hAnsi="宋体" w:eastAsia="宋体"/>
          <w:color w:val="auto"/>
          <w:sz w:val="21"/>
          <w:szCs w:val="21"/>
          <w:highlight w:val="none"/>
        </w:rPr>
        <w:t>采用保证金（银行</w:t>
      </w:r>
      <w:r>
        <w:rPr>
          <w:rFonts w:hint="eastAsia" w:ascii="宋体" w:hAnsi="宋体" w:eastAsia="宋体"/>
          <w:color w:val="auto"/>
          <w:sz w:val="21"/>
          <w:szCs w:val="21"/>
          <w:highlight w:val="none"/>
          <w:lang w:eastAsia="zh-CN"/>
        </w:rPr>
        <w:t>转账</w:t>
      </w:r>
      <w:r>
        <w:rPr>
          <w:rFonts w:hint="eastAsia" w:ascii="宋体" w:hAnsi="宋体" w:eastAsia="宋体"/>
          <w:color w:val="auto"/>
          <w:sz w:val="21"/>
          <w:szCs w:val="21"/>
          <w:highlight w:val="none"/>
        </w:rPr>
        <w:t>、电汇）方式：中标人必须保证资金在签订合同前到</w:t>
      </w:r>
      <w:r>
        <w:rPr>
          <w:rFonts w:hint="eastAsia" w:ascii="宋体" w:hAnsi="宋体" w:eastAsia="宋体"/>
          <w:color w:val="auto"/>
          <w:sz w:val="21"/>
          <w:szCs w:val="21"/>
          <w:highlight w:val="none"/>
          <w:lang w:eastAsia="zh-CN"/>
        </w:rPr>
        <w:t>账</w:t>
      </w:r>
      <w:r>
        <w:rPr>
          <w:rFonts w:hint="eastAsia" w:ascii="宋体" w:hAnsi="宋体" w:eastAsia="宋体"/>
          <w:color w:val="auto"/>
          <w:sz w:val="21"/>
          <w:szCs w:val="21"/>
          <w:highlight w:val="none"/>
        </w:rPr>
        <w:t>。履约保证金账户采购人另行通知，到期后无息退还。</w:t>
      </w:r>
    </w:p>
    <w:p w14:paraId="5FFF3347">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32.3.</w:t>
      </w:r>
      <w:r>
        <w:rPr>
          <w:rFonts w:hint="eastAsia" w:ascii="宋体" w:hAnsi="宋体" w:eastAsia="宋体"/>
          <w:color w:val="auto"/>
          <w:sz w:val="21"/>
          <w:szCs w:val="21"/>
          <w:highlight w:val="none"/>
        </w:rPr>
        <w:t>采用履约保函方式：履约担保。是指由担保机构为供应商交纳履约保证金向采购人或采购代理机构提供的保证担保。供应商未按政府采购合同履行约定义务的，由担保机构按照担保函约定履行支付履约保证金的责任。（投标担保格式详见附件《政府采购投标担保函》）</w:t>
      </w:r>
    </w:p>
    <w:p w14:paraId="7961AE23">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32.4.</w:t>
      </w:r>
      <w:r>
        <w:rPr>
          <w:rFonts w:hint="eastAsia" w:ascii="宋体" w:hAnsi="宋体" w:eastAsia="宋体"/>
          <w:color w:val="auto"/>
          <w:sz w:val="21"/>
          <w:szCs w:val="21"/>
          <w:highlight w:val="none"/>
        </w:rPr>
        <w:t>中标人须将履约保证金的汇款凭证 (注明中标通知书或项目编号)或履约保函（采购人注明原件已收到并盖章）用A4纸复印一式四份并加盖中标人的公章送至采购代理机构。</w:t>
      </w:r>
    </w:p>
    <w:p w14:paraId="4B0DA149">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32.5.</w:t>
      </w:r>
      <w:r>
        <w:rPr>
          <w:rFonts w:hint="eastAsia" w:ascii="宋体" w:hAnsi="宋体" w:eastAsia="宋体"/>
          <w:color w:val="auto"/>
          <w:sz w:val="21"/>
          <w:szCs w:val="21"/>
          <w:highlight w:val="none"/>
        </w:rPr>
        <w:t>履约保证金退回：履约保证金在项目验收合格后，中标人向采购人提交退回履约保证金的申请、履约保证金汇款凭证复印件、采购合同、采购项目验收报告原件、中标通知书复印件，前往采购人办理履约保证金</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退还手续。</w:t>
      </w:r>
    </w:p>
    <w:p w14:paraId="1FFF88B0">
      <w:pPr>
        <w:pageBreakBefore w:val="0"/>
        <w:kinsoku/>
        <w:topLinePunct w:val="0"/>
        <w:autoSpaceDE/>
        <w:autoSpaceDN/>
        <w:bidi w:val="0"/>
        <w:spacing w:line="360" w:lineRule="auto"/>
        <w:rPr>
          <w:color w:val="auto"/>
          <w:highlight w:val="none"/>
        </w:rPr>
      </w:pPr>
    </w:p>
    <w:p w14:paraId="6063386F">
      <w:pPr>
        <w:pStyle w:val="4"/>
        <w:keepNext/>
        <w:keepLines/>
        <w:pageBreakBefore w:val="0"/>
        <w:widowControl/>
        <w:numPr>
          <w:ilvl w:val="0"/>
          <w:numId w:val="2"/>
        </w:numPr>
        <w:kinsoku/>
        <w:wordWrap/>
        <w:overflowPunct/>
        <w:topLinePunct w:val="0"/>
        <w:autoSpaceDE/>
        <w:autoSpaceDN/>
        <w:bidi w:val="0"/>
        <w:adjustRightInd w:val="0"/>
        <w:snapToGrid w:val="0"/>
        <w:spacing w:before="0" w:after="0" w:line="360" w:lineRule="auto"/>
        <w:ind w:left="0" w:firstLine="0"/>
        <w:jc w:val="center"/>
        <w:textAlignment w:val="auto"/>
        <w:rPr>
          <w:rFonts w:ascii="宋体" w:hAnsi="宋体" w:eastAsia="宋体"/>
          <w:color w:val="auto"/>
          <w:highlight w:val="none"/>
        </w:rPr>
      </w:pPr>
      <w:bookmarkStart w:id="78" w:name="_Toc5276"/>
      <w:r>
        <w:rPr>
          <w:rFonts w:hint="eastAsia" w:ascii="宋体" w:hAnsi="宋体" w:eastAsia="宋体"/>
          <w:color w:val="auto"/>
          <w:highlight w:val="none"/>
        </w:rPr>
        <w:t>其他</w:t>
      </w:r>
      <w:bookmarkEnd w:id="78"/>
    </w:p>
    <w:p w14:paraId="063664AD">
      <w:pPr>
        <w:pStyle w:val="5"/>
        <w:pageBreakBefore w:val="0"/>
        <w:widowControl w:val="0"/>
        <w:kinsoku/>
        <w:wordWrap/>
        <w:overflowPunct w:val="0"/>
        <w:topLinePunct w:val="0"/>
        <w:autoSpaceDE/>
        <w:autoSpaceDN/>
        <w:bidi w:val="0"/>
        <w:spacing w:before="0" w:after="0" w:line="400" w:lineRule="exact"/>
        <w:textAlignment w:val="auto"/>
        <w:rPr>
          <w:rFonts w:ascii="宋体" w:hAnsi="宋体" w:eastAsia="宋体"/>
          <w:color w:val="auto"/>
          <w:sz w:val="21"/>
          <w:szCs w:val="21"/>
          <w:highlight w:val="none"/>
        </w:rPr>
      </w:pPr>
      <w:bookmarkStart w:id="79" w:name="_Toc19434"/>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.招标文件的解释权</w:t>
      </w:r>
      <w:bookmarkEnd w:id="79"/>
    </w:p>
    <w:p w14:paraId="018DEA0F">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33.1.</w:t>
      </w:r>
      <w:r>
        <w:rPr>
          <w:rFonts w:hint="eastAsia" w:ascii="宋体" w:hAnsi="宋体" w:eastAsia="宋体"/>
          <w:color w:val="auto"/>
          <w:sz w:val="21"/>
          <w:szCs w:val="21"/>
          <w:highlight w:val="none"/>
        </w:rPr>
        <w:t>招标文件版本号：三方诚信</w:t>
      </w:r>
      <w:r>
        <w:rPr>
          <w:rFonts w:hint="eastAsia" w:ascii="宋体" w:hAnsi="宋体" w:eastAsia="宋体"/>
          <w:color w:val="auto"/>
          <w:sz w:val="21"/>
          <w:szCs w:val="21"/>
          <w:highlight w:val="none"/>
          <w:lang w:eastAsia="zh-CN"/>
        </w:rPr>
        <w:t>202</w:t>
      </w:r>
      <w:r>
        <w:rPr>
          <w:rFonts w:hint="eastAsia" w:ascii="宋体" w:hAnsi="宋体" w:eastAsia="宋体"/>
          <w:color w:val="auto"/>
          <w:sz w:val="21"/>
          <w:szCs w:val="21"/>
          <w:highlight w:val="none"/>
          <w:lang w:val="en-US" w:eastAsia="zh-CN"/>
        </w:rPr>
        <w:t>50106</w:t>
      </w:r>
      <w:r>
        <w:rPr>
          <w:rFonts w:hint="eastAsia" w:ascii="宋体" w:hAnsi="宋体" w:eastAsia="宋体"/>
          <w:color w:val="auto"/>
          <w:sz w:val="21"/>
          <w:szCs w:val="21"/>
          <w:highlight w:val="none"/>
        </w:rPr>
        <w:t>。</w:t>
      </w:r>
    </w:p>
    <w:p w14:paraId="598E24FC">
      <w:pPr>
        <w:pageBreakBefore w:val="0"/>
        <w:widowControl w:val="0"/>
        <w:numPr>
          <w:ilvl w:val="1"/>
          <w:numId w:val="0"/>
        </w:numPr>
        <w:tabs>
          <w:tab w:val="left" w:pos="907"/>
        </w:tabs>
        <w:kinsoku/>
        <w:wordWrap/>
        <w:topLinePunct w:val="0"/>
        <w:autoSpaceDE/>
        <w:autoSpaceDN/>
        <w:bidi w:val="0"/>
        <w:adjustRightInd/>
        <w:snapToGrid/>
        <w:spacing w:after="0" w:line="400" w:lineRule="exact"/>
        <w:ind w:left="567" w:leftChars="0" w:hanging="567" w:firstLineChars="0"/>
        <w:jc w:val="both"/>
        <w:textAlignment w:val="auto"/>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33.2.</w:t>
      </w:r>
      <w:r>
        <w:rPr>
          <w:rFonts w:hint="eastAsia" w:ascii="宋体" w:hAnsi="宋体" w:eastAsia="宋体"/>
          <w:color w:val="auto"/>
          <w:sz w:val="21"/>
          <w:szCs w:val="21"/>
          <w:highlight w:val="none"/>
        </w:rPr>
        <w:t>本招标文件是</w:t>
      </w:r>
      <w:r>
        <w:rPr>
          <w:rFonts w:hint="eastAsia" w:ascii="宋体" w:hAnsi="宋体" w:eastAsia="宋体"/>
          <w:color w:val="auto"/>
          <w:sz w:val="21"/>
          <w:szCs w:val="21"/>
          <w:highlight w:val="none"/>
          <w:lang w:eastAsia="zh-CN"/>
        </w:rPr>
        <w:t>参照</w:t>
      </w:r>
      <w:r>
        <w:rPr>
          <w:rFonts w:hint="eastAsia" w:ascii="宋体" w:hAnsi="宋体" w:eastAsia="宋体"/>
          <w:color w:val="auto"/>
          <w:sz w:val="21"/>
          <w:szCs w:val="21"/>
          <w:highlight w:val="none"/>
        </w:rPr>
        <w:t>国家有关法律、法规以及政府采购管理有关规定和参照国际惯例编制，解释权属本采购代理机构。</w:t>
      </w:r>
    </w:p>
    <w:p w14:paraId="4F0E04CC">
      <w:pPr>
        <w:pageBreakBefore w:val="0"/>
        <w:widowControl w:val="0"/>
        <w:numPr>
          <w:ilvl w:val="1"/>
          <w:numId w:val="0"/>
        </w:numPr>
        <w:tabs>
          <w:tab w:val="left" w:pos="907"/>
        </w:tabs>
        <w:kinsoku/>
        <w:topLinePunct w:val="0"/>
        <w:autoSpaceDE/>
        <w:autoSpaceDN/>
        <w:bidi w:val="0"/>
        <w:adjustRightInd/>
        <w:snapToGrid/>
        <w:spacing w:after="0" w:line="360" w:lineRule="auto"/>
        <w:ind w:left="567" w:leftChars="0" w:hanging="567" w:firstLineChars="0"/>
        <w:jc w:val="both"/>
        <w:rPr>
          <w:rFonts w:ascii="宋体" w:hAnsi="宋体" w:eastAsia="宋体"/>
          <w:color w:val="auto"/>
          <w:sz w:val="21"/>
          <w:szCs w:val="21"/>
          <w:highlight w:val="none"/>
        </w:rPr>
      </w:pPr>
      <w:r>
        <w:rPr>
          <w:rFonts w:hint="eastAsia" w:ascii="宋体" w:hAnsi="宋体" w:eastAsia="宋体" w:cstheme="minorBidi"/>
          <w:color w:val="auto"/>
          <w:sz w:val="21"/>
          <w:szCs w:val="21"/>
          <w:highlight w:val="none"/>
          <w:lang w:val="en-US" w:eastAsia="zh-CN" w:bidi="ar-SA"/>
        </w:rPr>
        <w:t>33.3.</w:t>
      </w:r>
      <w:r>
        <w:rPr>
          <w:rFonts w:hint="eastAsia" w:ascii="宋体" w:hAnsi="宋体" w:eastAsia="宋体"/>
          <w:color w:val="auto"/>
          <w:sz w:val="21"/>
          <w:szCs w:val="21"/>
          <w:highlight w:val="none"/>
        </w:rPr>
        <w:br w:type="page"/>
      </w:r>
    </w:p>
    <w:p w14:paraId="4F76E91C">
      <w:pPr>
        <w:pStyle w:val="3"/>
        <w:pageBreakBefore w:val="0"/>
        <w:numPr>
          <w:ilvl w:val="0"/>
          <w:numId w:val="6"/>
        </w:numPr>
        <w:kinsoku/>
        <w:topLinePunct w:val="0"/>
        <w:autoSpaceDE/>
        <w:autoSpaceDN/>
        <w:bidi w:val="0"/>
        <w:spacing w:before="0" w:after="0" w:line="360" w:lineRule="auto"/>
        <w:rPr>
          <w:rFonts w:hint="eastAsia"/>
          <w:color w:val="auto"/>
          <w:sz w:val="28"/>
          <w:szCs w:val="28"/>
          <w:highlight w:val="none"/>
        </w:rPr>
      </w:pPr>
      <w:bookmarkStart w:id="80" w:name="_Toc12226"/>
      <w:r>
        <w:rPr>
          <w:rFonts w:hint="eastAsia"/>
          <w:color w:val="auto"/>
          <w:sz w:val="28"/>
          <w:szCs w:val="28"/>
          <w:highlight w:val="none"/>
        </w:rPr>
        <w:t>合同格式</w:t>
      </w:r>
      <w:bookmarkEnd w:id="80"/>
      <w:bookmarkStart w:id="81" w:name="_Toc1534"/>
      <w:bookmarkStart w:id="82" w:name="_Toc21155"/>
      <w:bookmarkStart w:id="83" w:name="_Toc13430"/>
    </w:p>
    <w:p w14:paraId="09A9CDCD">
      <w:pPr>
        <w:pageBreakBefore w:val="0"/>
        <w:numPr>
          <w:ilvl w:val="0"/>
          <w:numId w:val="0"/>
        </w:numPr>
        <w:kinsoku/>
        <w:topLinePunct w:val="0"/>
        <w:autoSpaceDE/>
        <w:autoSpaceDN/>
        <w:bidi w:val="0"/>
        <w:spacing w:before="0" w:after="0" w:line="360" w:lineRule="auto"/>
        <w:jc w:val="center"/>
        <w:outlineLvl w:val="9"/>
        <w:rPr>
          <w:color w:val="auto"/>
          <w:highlight w:val="none"/>
        </w:rPr>
      </w:pPr>
      <w:r>
        <w:rPr>
          <w:rFonts w:hint="eastAsia" w:ascii="宋体" w:hAnsi="宋体" w:eastAsia="宋体" w:cs="宋体"/>
          <w:b/>
          <w:bCs/>
          <w:color w:val="auto"/>
          <w:sz w:val="28"/>
          <w:szCs w:val="28"/>
          <w:highlight w:val="none"/>
        </w:rPr>
        <w:t>（本格式编排在招标文件中，供投标人参考，投标时不需填写）</w:t>
      </w:r>
    </w:p>
    <w:p w14:paraId="5D9D02DC">
      <w:pPr>
        <w:pStyle w:val="4"/>
        <w:pageBreakBefore w:val="0"/>
        <w:kinsoku/>
        <w:topLinePunct w:val="0"/>
        <w:autoSpaceDE/>
        <w:autoSpaceDN/>
        <w:bidi w:val="0"/>
        <w:spacing w:before="0" w:after="0" w:line="360" w:lineRule="auto"/>
        <w:jc w:val="center"/>
        <w:rPr>
          <w:rFonts w:hint="eastAsia" w:ascii="宋体" w:hAnsi="宋体" w:eastAsia="宋体" w:cs="宋体"/>
          <w:color w:val="auto"/>
          <w:highlight w:val="none"/>
        </w:rPr>
      </w:pPr>
      <w:bookmarkStart w:id="84" w:name="_Toc19043"/>
      <w:r>
        <w:rPr>
          <w:rFonts w:hint="eastAsia" w:ascii="宋体" w:hAnsi="宋体" w:eastAsia="宋体" w:cs="宋体"/>
          <w:color w:val="auto"/>
          <w:highlight w:val="none"/>
        </w:rPr>
        <w:t>合同格式</w:t>
      </w:r>
      <w:bookmarkEnd w:id="81"/>
      <w:bookmarkEnd w:id="82"/>
      <w:bookmarkEnd w:id="83"/>
      <w:bookmarkEnd w:id="84"/>
    </w:p>
    <w:p w14:paraId="57A1A5CB">
      <w:pPr>
        <w:rPr>
          <w:color w:val="auto"/>
          <w:highlight w:val="none"/>
        </w:rPr>
      </w:pPr>
    </w:p>
    <w:p w14:paraId="4856E03A">
      <w:pPr>
        <w:keepNext w:val="0"/>
        <w:keepLines w:val="0"/>
        <w:pageBreakBefore w:val="0"/>
        <w:kinsoku/>
        <w:wordWrap/>
        <w:overflowPunct/>
        <w:topLinePunct w:val="0"/>
        <w:autoSpaceDE/>
        <w:autoSpaceDN/>
        <w:bidi w:val="0"/>
        <w:spacing w:line="400" w:lineRule="exact"/>
        <w:ind w:right="56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合同编号：</w:t>
      </w:r>
    </w:p>
    <w:p w14:paraId="33CBC4DC">
      <w:pPr>
        <w:keepNext w:val="0"/>
        <w:keepLines w:val="0"/>
        <w:pageBreakBefore w:val="0"/>
        <w:kinsoku/>
        <w:wordWrap/>
        <w:overflowPunct/>
        <w:topLinePunct w:val="0"/>
        <w:autoSpaceDE/>
        <w:autoSpaceDN/>
        <w:bidi w:val="0"/>
        <w:spacing w:line="400" w:lineRule="exac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甲方</w:t>
      </w:r>
      <w:r>
        <w:rPr>
          <w:rFonts w:hint="eastAsia" w:ascii="宋体" w:hAnsi="宋体" w:eastAsia="宋体"/>
          <w:color w:val="auto"/>
          <w:sz w:val="21"/>
          <w:szCs w:val="21"/>
          <w:highlight w:val="none"/>
          <w:lang w:eastAsia="zh-CN"/>
        </w:rPr>
        <w:t>（采购人）</w:t>
      </w:r>
      <w:r>
        <w:rPr>
          <w:rFonts w:hint="eastAsia" w:ascii="宋体" w:hAnsi="宋体" w:eastAsia="宋体"/>
          <w:color w:val="auto"/>
          <w:sz w:val="21"/>
          <w:szCs w:val="21"/>
          <w:highlight w:val="none"/>
        </w:rPr>
        <w:t>：东莞市民政局</w:t>
      </w:r>
    </w:p>
    <w:p w14:paraId="565ADD2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乙方</w:t>
      </w:r>
      <w:r>
        <w:rPr>
          <w:rFonts w:hint="eastAsia" w:ascii="宋体" w:hAnsi="宋体" w:eastAsia="宋体"/>
          <w:color w:val="auto"/>
          <w:sz w:val="21"/>
          <w:szCs w:val="21"/>
          <w:highlight w:val="none"/>
          <w:lang w:eastAsia="zh-CN"/>
        </w:rPr>
        <w:t>（中标单位）</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none"/>
        </w:rPr>
        <w:t xml:space="preserve">                   </w:t>
      </w:r>
      <w:r>
        <w:rPr>
          <w:rFonts w:hint="eastAsia" w:ascii="宋体" w:hAnsi="宋体" w:eastAsia="宋体"/>
          <w:color w:val="auto"/>
          <w:sz w:val="21"/>
          <w:szCs w:val="21"/>
          <w:highlight w:val="none"/>
          <w:u w:val="single"/>
        </w:rPr>
        <w:t xml:space="preserve">       </w:t>
      </w:r>
    </w:p>
    <w:p w14:paraId="49A72AED">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受甲方委托，</w:t>
      </w:r>
      <w:r>
        <w:rPr>
          <w:rFonts w:hint="eastAsia" w:ascii="宋体" w:hAnsi="宋体" w:eastAsia="宋体"/>
          <w:color w:val="auto"/>
          <w:sz w:val="21"/>
          <w:szCs w:val="21"/>
          <w:highlight w:val="none"/>
          <w:u w:val="single"/>
          <w:lang w:eastAsia="zh-CN"/>
        </w:rPr>
        <w:t>三方诚信招标有限公司东莞分公司</w:t>
      </w:r>
      <w:r>
        <w:rPr>
          <w:rFonts w:hint="eastAsia" w:ascii="宋体" w:hAnsi="宋体" w:eastAsia="宋体"/>
          <w:color w:val="auto"/>
          <w:sz w:val="21"/>
          <w:szCs w:val="21"/>
          <w:highlight w:val="none"/>
        </w:rPr>
        <w:t>组织对</w:t>
      </w:r>
      <w:r>
        <w:rPr>
          <w:rFonts w:hint="eastAsia" w:ascii="宋体" w:hAnsi="宋体" w:eastAsia="宋体"/>
          <w:color w:val="auto"/>
          <w:sz w:val="21"/>
          <w:szCs w:val="21"/>
          <w:highlight w:val="none"/>
          <w:u w:val="single"/>
        </w:rPr>
        <w:t>2025－2026年“幸福加油站一婚姻护航”婚姻家庭辅导项目</w:t>
      </w:r>
      <w:r>
        <w:rPr>
          <w:rFonts w:hint="eastAsia" w:ascii="宋体" w:hAnsi="宋体" w:eastAsia="宋体"/>
          <w:color w:val="auto"/>
          <w:sz w:val="21"/>
          <w:szCs w:val="21"/>
          <w:highlight w:val="none"/>
        </w:rPr>
        <w:t>（采购项目编号为</w:t>
      </w:r>
      <w:r>
        <w:rPr>
          <w:rFonts w:hint="eastAsia" w:ascii="宋体" w:hAnsi="宋体" w:eastAsia="宋体"/>
          <w:color w:val="auto"/>
          <w:sz w:val="21"/>
          <w:szCs w:val="21"/>
          <w:highlight w:val="none"/>
          <w:u w:val="single"/>
        </w:rPr>
        <w:t>0832-SFCX25DG064C</w:t>
      </w:r>
      <w:r>
        <w:rPr>
          <w:rFonts w:hint="eastAsia" w:ascii="宋体" w:hAnsi="宋体" w:eastAsia="宋体"/>
          <w:color w:val="auto"/>
          <w:sz w:val="21"/>
          <w:szCs w:val="21"/>
          <w:highlight w:val="none"/>
        </w:rPr>
        <w:t>）进行采购，于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日通过公开招标，经评标委员会评定乙方</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为中标单位。为了保护甲、乙</w:t>
      </w:r>
      <w:r>
        <w:rPr>
          <w:rFonts w:hint="eastAsia" w:ascii="宋体" w:hAnsi="宋体" w:eastAsia="宋体"/>
          <w:color w:val="auto"/>
          <w:sz w:val="21"/>
          <w:szCs w:val="21"/>
          <w:highlight w:val="none"/>
          <w:lang w:eastAsia="zh-CN"/>
        </w:rPr>
        <w:t>双方</w:t>
      </w:r>
      <w:r>
        <w:rPr>
          <w:rFonts w:hint="eastAsia" w:ascii="宋体" w:hAnsi="宋体" w:eastAsia="宋体"/>
          <w:color w:val="auto"/>
          <w:sz w:val="21"/>
          <w:szCs w:val="21"/>
          <w:highlight w:val="none"/>
        </w:rPr>
        <w:t>合法权益，根据《中华人民共和国政府采购法》及其实施条例、《中华人民共和国</w:t>
      </w:r>
      <w:r>
        <w:rPr>
          <w:rFonts w:hint="eastAsia" w:ascii="宋体" w:hAnsi="宋体" w:eastAsia="宋体"/>
          <w:color w:val="auto"/>
          <w:sz w:val="21"/>
          <w:szCs w:val="21"/>
          <w:highlight w:val="none"/>
          <w:lang w:eastAsia="zh-CN"/>
        </w:rPr>
        <w:t>民法典</w:t>
      </w:r>
      <w:r>
        <w:rPr>
          <w:rFonts w:hint="eastAsia" w:ascii="宋体" w:hAnsi="宋体" w:eastAsia="宋体"/>
          <w:color w:val="auto"/>
          <w:sz w:val="21"/>
          <w:szCs w:val="21"/>
          <w:highlight w:val="none"/>
        </w:rPr>
        <w:t>》，在平等自愿的基础上，按照下面的条款和条件，签署本合同。</w:t>
      </w:r>
    </w:p>
    <w:p w14:paraId="6FC4A41F">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第一条 合同项目</w:t>
      </w:r>
    </w:p>
    <w:p w14:paraId="3D467529">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1、项目名称：2025－2026年“幸福加油站一婚姻护航”婚姻家庭辅导项目；</w:t>
      </w:r>
    </w:p>
    <w:p w14:paraId="7473017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2、采购项目编号：0832-SFCX25DG064C。</w:t>
      </w:r>
    </w:p>
    <w:p w14:paraId="11B65A06">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第二条 合同组成</w:t>
      </w:r>
    </w:p>
    <w:p w14:paraId="7CEA1EF1">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1、合同文件组成内容包括：本合同书 、中标通知书、投标文件（含澄清内容）、招标文件（含招标文件澄清通知）等。</w:t>
      </w:r>
    </w:p>
    <w:p w14:paraId="26385F4C">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85" w:name="_Toc86481558"/>
      <w:r>
        <w:rPr>
          <w:rFonts w:hint="eastAsia" w:ascii="宋体" w:hAnsi="宋体" w:eastAsia="宋体"/>
          <w:b/>
          <w:color w:val="auto"/>
          <w:sz w:val="21"/>
          <w:szCs w:val="21"/>
          <w:highlight w:val="none"/>
        </w:rPr>
        <w:t>第三条 服务内容、标准及要求</w:t>
      </w:r>
    </w:p>
    <w:p w14:paraId="0DC0B435">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lang w:eastAsia="zh-CN"/>
        </w:rPr>
        <w:t>服务</w:t>
      </w:r>
      <w:r>
        <w:rPr>
          <w:rFonts w:hint="eastAsia" w:ascii="宋体" w:hAnsi="宋体" w:eastAsia="宋体"/>
          <w:color w:val="auto"/>
          <w:sz w:val="21"/>
          <w:szCs w:val="21"/>
          <w:highlight w:val="none"/>
        </w:rPr>
        <w:t>内容</w:t>
      </w:r>
    </w:p>
    <w:p w14:paraId="382C9DB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幸福加油站一婚姻护航”婚姻家庭辅导项目主要为全市婚姻当事人</w:t>
      </w:r>
      <w:r>
        <w:rPr>
          <w:rFonts w:hint="eastAsia" w:ascii="宋体" w:hAnsi="宋体" w:eastAsia="宋体"/>
          <w:color w:val="auto"/>
          <w:sz w:val="21"/>
          <w:szCs w:val="21"/>
          <w:highlight w:val="none"/>
          <w:lang w:eastAsia="zh-CN"/>
        </w:rPr>
        <w:t>及符合婚姻登记的外来务工人员</w:t>
      </w:r>
      <w:r>
        <w:rPr>
          <w:rFonts w:hint="eastAsia" w:ascii="宋体" w:hAnsi="宋体" w:eastAsia="宋体"/>
          <w:color w:val="auto"/>
          <w:sz w:val="21"/>
          <w:szCs w:val="21"/>
          <w:highlight w:val="none"/>
        </w:rPr>
        <w:t>提供婚姻家庭辅导</w:t>
      </w:r>
      <w:r>
        <w:rPr>
          <w:rFonts w:hint="eastAsia" w:ascii="宋体" w:hAnsi="宋体" w:eastAsia="宋体"/>
          <w:color w:val="auto"/>
          <w:sz w:val="21"/>
          <w:szCs w:val="21"/>
          <w:highlight w:val="none"/>
          <w:lang w:eastAsia="zh-CN"/>
        </w:rPr>
        <w:t>服务，</w:t>
      </w:r>
      <w:r>
        <w:rPr>
          <w:rFonts w:hint="eastAsia" w:ascii="宋体" w:hAnsi="宋体" w:eastAsia="宋体"/>
          <w:color w:val="auto"/>
          <w:sz w:val="21"/>
          <w:szCs w:val="21"/>
          <w:highlight w:val="none"/>
        </w:rPr>
        <w:t>包括离婚调解及婚姻危机干预、新婚辅导、优生优育、法律法规宣传以及好家风好家教好家训宣传、婚俗改革宣传等服务，帮助婚姻当事人排解各种婚姻、家庭危机，最大限度地保护婚姻、维护家庭稳定。</w:t>
      </w:r>
    </w:p>
    <w:p w14:paraId="7961A8B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服务</w:t>
      </w:r>
      <w:r>
        <w:rPr>
          <w:rFonts w:hint="eastAsia" w:ascii="宋体" w:hAnsi="宋体" w:eastAsia="宋体"/>
          <w:color w:val="auto"/>
          <w:sz w:val="21"/>
          <w:szCs w:val="21"/>
          <w:highlight w:val="none"/>
          <w:lang w:eastAsia="zh-CN"/>
        </w:rPr>
        <w:t>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133"/>
        <w:gridCol w:w="3128"/>
      </w:tblGrid>
      <w:tr w14:paraId="7D7A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19D0BA4F">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序号</w:t>
            </w:r>
          </w:p>
        </w:tc>
        <w:tc>
          <w:tcPr>
            <w:tcW w:w="4133" w:type="dxa"/>
            <w:tcBorders>
              <w:top w:val="single" w:color="auto" w:sz="4" w:space="0"/>
              <w:left w:val="single" w:color="auto" w:sz="4" w:space="0"/>
              <w:bottom w:val="single" w:color="auto" w:sz="4" w:space="0"/>
              <w:right w:val="single" w:color="auto" w:sz="4" w:space="0"/>
            </w:tcBorders>
            <w:noWrap w:val="0"/>
            <w:vAlign w:val="top"/>
          </w:tcPr>
          <w:p w14:paraId="0BFC6491">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服务名称</w:t>
            </w:r>
          </w:p>
        </w:tc>
        <w:tc>
          <w:tcPr>
            <w:tcW w:w="3128" w:type="dxa"/>
            <w:tcBorders>
              <w:top w:val="single" w:color="auto" w:sz="4" w:space="0"/>
              <w:left w:val="single" w:color="auto" w:sz="4" w:space="0"/>
              <w:bottom w:val="single" w:color="auto" w:sz="4" w:space="0"/>
              <w:right w:val="single" w:color="auto" w:sz="4" w:space="0"/>
            </w:tcBorders>
            <w:noWrap w:val="0"/>
            <w:vAlign w:val="top"/>
          </w:tcPr>
          <w:p w14:paraId="24AA215D">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年均产出量</w:t>
            </w:r>
          </w:p>
        </w:tc>
      </w:tr>
      <w:tr w14:paraId="256C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4D2EF9B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1</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7E17125D">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个案服务</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65CD1B3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50</w:t>
            </w:r>
            <w:r>
              <w:rPr>
                <w:rFonts w:hint="default" w:ascii="宋体" w:hAnsi="宋体" w:eastAsia="宋体" w:cs="宋体"/>
                <w:color w:val="auto"/>
                <w:sz w:val="21"/>
                <w:szCs w:val="21"/>
                <w:highlight w:val="none"/>
                <w:shd w:val="clear" w:color="auto" w:fill="FFFFFF"/>
                <w:lang w:val="en-US" w:eastAsia="zh-CN" w:bidi="ar-SA"/>
              </w:rPr>
              <w:t>个</w:t>
            </w:r>
          </w:p>
        </w:tc>
      </w:tr>
      <w:tr w14:paraId="26D9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72E17202">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2</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2BB32257">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婚姻辅导</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05D24225">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2500</w:t>
            </w:r>
            <w:r>
              <w:rPr>
                <w:rFonts w:hint="default" w:ascii="宋体" w:hAnsi="宋体" w:eastAsia="宋体" w:cs="宋体"/>
                <w:color w:val="auto"/>
                <w:sz w:val="21"/>
                <w:szCs w:val="21"/>
                <w:highlight w:val="none"/>
                <w:shd w:val="clear" w:color="auto" w:fill="FFFFFF"/>
                <w:lang w:val="en-US" w:eastAsia="zh-CN" w:bidi="ar-SA"/>
              </w:rPr>
              <w:t>人次</w:t>
            </w:r>
          </w:p>
        </w:tc>
      </w:tr>
      <w:tr w14:paraId="708D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12C151F2">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3</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3CE268F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咨询</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4D5D3299">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2500</w:t>
            </w:r>
            <w:r>
              <w:rPr>
                <w:rFonts w:hint="default" w:ascii="宋体" w:hAnsi="宋体" w:eastAsia="宋体" w:cs="宋体"/>
                <w:color w:val="auto"/>
                <w:sz w:val="21"/>
                <w:szCs w:val="21"/>
                <w:highlight w:val="none"/>
                <w:shd w:val="clear" w:color="auto" w:fill="FFFFFF"/>
                <w:lang w:val="en-US" w:eastAsia="zh-CN" w:bidi="ar-SA"/>
              </w:rPr>
              <w:t>人次</w:t>
            </w:r>
          </w:p>
        </w:tc>
      </w:tr>
      <w:tr w14:paraId="4B64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08D227E2">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4</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43B0A462">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活动</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56BB1088">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25</w:t>
            </w:r>
            <w:r>
              <w:rPr>
                <w:rFonts w:hint="default" w:ascii="宋体" w:hAnsi="宋体" w:eastAsia="宋体" w:cs="宋体"/>
                <w:color w:val="auto"/>
                <w:sz w:val="21"/>
                <w:szCs w:val="21"/>
                <w:highlight w:val="none"/>
                <w:shd w:val="clear" w:color="auto" w:fill="FFFFFF"/>
                <w:lang w:val="en-US" w:eastAsia="zh-CN" w:bidi="ar-SA"/>
              </w:rPr>
              <w:t>个</w:t>
            </w:r>
          </w:p>
        </w:tc>
      </w:tr>
      <w:tr w14:paraId="45B3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5C7741D3">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5</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793125B5">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服务总结</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501FF0D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2份</w:t>
            </w:r>
          </w:p>
        </w:tc>
      </w:tr>
      <w:tr w14:paraId="3407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3A0468EB">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6</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7C11E3B5">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社工服务反思和服务探讨</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39666003">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1宗</w:t>
            </w:r>
          </w:p>
        </w:tc>
      </w:tr>
      <w:tr w14:paraId="3A24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69B96D1A">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7</w:t>
            </w:r>
          </w:p>
        </w:tc>
        <w:tc>
          <w:tcPr>
            <w:tcW w:w="4133" w:type="dxa"/>
            <w:tcBorders>
              <w:top w:val="single" w:color="auto" w:sz="4" w:space="0"/>
              <w:left w:val="single" w:color="auto" w:sz="4" w:space="0"/>
              <w:bottom w:val="single" w:color="auto" w:sz="4" w:space="0"/>
              <w:right w:val="single" w:color="auto" w:sz="4" w:space="0"/>
            </w:tcBorders>
            <w:noWrap w:val="0"/>
            <w:vAlign w:val="top"/>
          </w:tcPr>
          <w:p w14:paraId="71D49A20">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default" w:ascii="宋体" w:hAnsi="宋体" w:eastAsia="宋体" w:cs="宋体"/>
                <w:color w:val="auto"/>
                <w:sz w:val="21"/>
                <w:szCs w:val="21"/>
                <w:highlight w:val="none"/>
                <w:shd w:val="clear" w:color="auto" w:fill="FFFFFF"/>
                <w:lang w:val="en-US" w:eastAsia="zh-CN" w:bidi="ar-SA"/>
              </w:rPr>
              <w:t>媒体报道</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28B66725">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10</w:t>
            </w:r>
            <w:r>
              <w:rPr>
                <w:rFonts w:hint="default" w:ascii="宋体" w:hAnsi="宋体" w:eastAsia="宋体" w:cs="宋体"/>
                <w:color w:val="auto"/>
                <w:sz w:val="21"/>
                <w:szCs w:val="21"/>
                <w:highlight w:val="none"/>
                <w:shd w:val="clear" w:color="auto" w:fill="FFFFFF"/>
                <w:lang w:val="en-US" w:eastAsia="zh-CN" w:bidi="ar-SA"/>
              </w:rPr>
              <w:t>次以上</w:t>
            </w:r>
          </w:p>
        </w:tc>
      </w:tr>
      <w:tr w14:paraId="0527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14:paraId="421C365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8</w:t>
            </w:r>
          </w:p>
        </w:tc>
        <w:tc>
          <w:tcPr>
            <w:tcW w:w="4133" w:type="dxa"/>
            <w:tcBorders>
              <w:top w:val="single" w:color="auto" w:sz="4" w:space="0"/>
              <w:left w:val="single" w:color="auto" w:sz="4" w:space="0"/>
              <w:bottom w:val="single" w:color="auto" w:sz="4" w:space="0"/>
              <w:right w:val="single" w:color="auto" w:sz="4" w:space="0"/>
            </w:tcBorders>
            <w:noWrap w:val="0"/>
            <w:vAlign w:val="top"/>
          </w:tcPr>
          <w:p w14:paraId="472A18A6">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服务单位交办的其他工作（视需要而定）</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3F4CA2BF">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bidi="ar-SA"/>
              </w:rPr>
              <w:t>/</w:t>
            </w:r>
          </w:p>
        </w:tc>
      </w:tr>
    </w:tbl>
    <w:p w14:paraId="05F68E07">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3、服务要求</w:t>
      </w:r>
    </w:p>
    <w:p w14:paraId="658FF42C">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（1）项目人员配备要求</w:t>
      </w:r>
    </w:p>
    <w:p w14:paraId="09179A54">
      <w:pPr>
        <w:keepNext w:val="0"/>
        <w:keepLines w:val="0"/>
        <w:pageBreakBefore w:val="0"/>
        <w:kinsoku/>
        <w:wordWrap/>
        <w:overflowPunct/>
        <w:topLinePunct w:val="0"/>
        <w:autoSpaceDE/>
        <w:autoSpaceDN/>
        <w:bidi w:val="0"/>
        <w:adjustRightInd/>
        <w:snapToGrid/>
        <w:spacing w:after="0" w:line="400" w:lineRule="exact"/>
        <w:ind w:firstLine="630" w:firstLineChars="3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1）人员配备数量要求</w:t>
      </w:r>
    </w:p>
    <w:p w14:paraId="20513218">
      <w:pPr>
        <w:keepNext w:val="0"/>
        <w:keepLines w:val="0"/>
        <w:pageBreakBefore w:val="0"/>
        <w:kinsoku/>
        <w:wordWrap/>
        <w:overflowPunct/>
        <w:topLinePunct w:val="0"/>
        <w:autoSpaceDE/>
        <w:autoSpaceDN/>
        <w:bidi w:val="0"/>
        <w:adjustRightInd/>
        <w:snapToGrid/>
        <w:spacing w:after="0" w:line="400" w:lineRule="exact"/>
        <w:ind w:firstLine="630" w:firstLineChars="3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乙方应本着服务至上、诚信为本的宗旨，为甲方委派5名身体健康并符合要求的项目人员。项目计划设置项目主管1人（负责统筹、协调、执行项目服务），项目社工4人（负责执行项目服务）。</w:t>
      </w:r>
    </w:p>
    <w:p w14:paraId="0BB77ED9">
      <w:pPr>
        <w:keepNext w:val="0"/>
        <w:keepLines w:val="0"/>
        <w:pageBreakBefore w:val="0"/>
        <w:kinsoku/>
        <w:wordWrap/>
        <w:overflowPunct/>
        <w:topLinePunct w:val="0"/>
        <w:autoSpaceDE/>
        <w:autoSpaceDN/>
        <w:bidi w:val="0"/>
        <w:adjustRightInd/>
        <w:snapToGrid/>
        <w:spacing w:after="0" w:line="400" w:lineRule="exact"/>
        <w:ind w:firstLine="630" w:firstLineChars="3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2）人员资质要求</w:t>
      </w:r>
    </w:p>
    <w:p w14:paraId="28B6F130">
      <w:pPr>
        <w:pStyle w:val="2"/>
        <w:keepNext w:val="0"/>
        <w:keepLines w:val="0"/>
        <w:pageBreakBefore w:val="0"/>
        <w:kinsoku/>
        <w:wordWrap/>
        <w:overflowPunct/>
        <w:topLinePunct w:val="0"/>
        <w:autoSpaceDE/>
        <w:autoSpaceDN/>
        <w:bidi w:val="0"/>
        <w:spacing w:after="0" w:line="360" w:lineRule="exact"/>
        <w:ind w:left="0" w:firstLine="420" w:firstLineChars="200"/>
        <w:textAlignment w:val="auto"/>
        <w:rPr>
          <w:rFonts w:hint="eastAsia" w:ascii="宋体" w:hAnsi="宋体" w:eastAsia="宋体" w:cstheme="minorBidi"/>
          <w:b w:val="0"/>
          <w:color w:val="auto"/>
          <w:kern w:val="0"/>
          <w:sz w:val="21"/>
          <w:szCs w:val="21"/>
          <w:highlight w:val="none"/>
          <w:lang w:val="en-US" w:eastAsia="zh-CN" w:bidi="ar-SA"/>
        </w:rPr>
      </w:pPr>
      <w:r>
        <w:rPr>
          <w:rFonts w:hint="eastAsia" w:ascii="微软雅黑" w:hAnsi="微软雅黑" w:eastAsia="微软雅黑" w:cs="微软雅黑"/>
          <w:b w:val="0"/>
          <w:color w:val="auto"/>
          <w:kern w:val="0"/>
          <w:sz w:val="21"/>
          <w:szCs w:val="21"/>
          <w:highlight w:val="none"/>
          <w:lang w:val="en-US" w:eastAsia="zh-CN" w:bidi="ar-SA"/>
        </w:rPr>
        <w:t>①</w:t>
      </w:r>
      <w:r>
        <w:rPr>
          <w:rFonts w:hint="eastAsia" w:ascii="宋体" w:hAnsi="宋体" w:eastAsia="宋体" w:cstheme="minorBidi"/>
          <w:b w:val="0"/>
          <w:color w:val="auto"/>
          <w:kern w:val="0"/>
          <w:sz w:val="21"/>
          <w:szCs w:val="21"/>
          <w:highlight w:val="none"/>
          <w:lang w:val="en-US" w:eastAsia="zh-CN" w:bidi="ar-SA"/>
        </w:rPr>
        <w:t>乙方配备的项目社工应通过全国社会工作者职业水平考试，获得助理级社工师或中级社工师资格证书；至少1人获得心理咨询师或婚姻家庭咨询师资格证书。</w:t>
      </w:r>
    </w:p>
    <w:p w14:paraId="07F6C060">
      <w:pPr>
        <w:pStyle w:val="2"/>
        <w:keepNext w:val="0"/>
        <w:keepLines w:val="0"/>
        <w:pageBreakBefore w:val="0"/>
        <w:kinsoku/>
        <w:wordWrap/>
        <w:overflowPunct/>
        <w:topLinePunct w:val="0"/>
        <w:autoSpaceDE/>
        <w:autoSpaceDN/>
        <w:bidi w:val="0"/>
        <w:spacing w:after="0" w:line="360" w:lineRule="exact"/>
        <w:ind w:left="0" w:firstLine="420" w:firstLineChars="200"/>
        <w:textAlignment w:val="auto"/>
        <w:rPr>
          <w:rFonts w:hint="eastAsia" w:ascii="宋体" w:hAnsi="宋体" w:eastAsia="宋体" w:cstheme="minorBidi"/>
          <w:b w:val="0"/>
          <w:color w:val="auto"/>
          <w:kern w:val="0"/>
          <w:sz w:val="21"/>
          <w:szCs w:val="21"/>
          <w:highlight w:val="none"/>
          <w:lang w:val="en-US" w:eastAsia="zh-CN" w:bidi="ar-SA"/>
        </w:rPr>
      </w:pPr>
      <w:r>
        <w:rPr>
          <w:rFonts w:hint="eastAsia" w:ascii="微软雅黑" w:hAnsi="微软雅黑" w:eastAsia="微软雅黑" w:cs="微软雅黑"/>
          <w:b w:val="0"/>
          <w:color w:val="auto"/>
          <w:kern w:val="0"/>
          <w:sz w:val="21"/>
          <w:szCs w:val="21"/>
          <w:highlight w:val="none"/>
          <w:lang w:val="en-US" w:eastAsia="zh-CN" w:bidi="ar-SA"/>
        </w:rPr>
        <w:t>②</w:t>
      </w:r>
      <w:r>
        <w:rPr>
          <w:rFonts w:hint="eastAsia" w:ascii="宋体" w:hAnsi="宋体" w:eastAsia="宋体" w:cstheme="minorBidi"/>
          <w:b w:val="0"/>
          <w:color w:val="auto"/>
          <w:kern w:val="0"/>
          <w:sz w:val="21"/>
          <w:szCs w:val="21"/>
          <w:highlight w:val="none"/>
          <w:lang w:val="en-US" w:eastAsia="zh-CN" w:bidi="ar-SA"/>
        </w:rPr>
        <w:t>拟投入项目人数达5人以上的，按照</w:t>
      </w:r>
      <w:r>
        <w:rPr>
          <w:rFonts w:hint="eastAsia" w:hAnsi="宋体" w:cs="宋体"/>
          <w:b w:val="0"/>
          <w:bCs w:val="0"/>
          <w:color w:val="FF0000"/>
          <w:sz w:val="21"/>
          <w:szCs w:val="21"/>
          <w:highlight w:val="none"/>
          <w:lang w:val="en-US" w:eastAsia="zh-CN"/>
        </w:rPr>
        <w:t>2:3</w:t>
      </w:r>
      <w:r>
        <w:rPr>
          <w:rFonts w:hint="eastAsia" w:hAnsi="宋体" w:cs="宋体"/>
          <w:b w:val="0"/>
          <w:bCs w:val="0"/>
          <w:color w:val="FF0000"/>
          <w:sz w:val="21"/>
          <w:szCs w:val="21"/>
          <w:highlight w:val="none"/>
          <w:lang w:eastAsia="zh-CN"/>
        </w:rPr>
        <w:t>比例</w:t>
      </w:r>
      <w:r>
        <w:rPr>
          <w:rFonts w:hint="eastAsia" w:ascii="宋体" w:hAnsi="宋体" w:eastAsia="宋体" w:cstheme="minorBidi"/>
          <w:b w:val="0"/>
          <w:color w:val="auto"/>
          <w:kern w:val="0"/>
          <w:sz w:val="21"/>
          <w:szCs w:val="21"/>
          <w:highlight w:val="none"/>
          <w:lang w:val="en-US" w:eastAsia="zh-CN" w:bidi="ar-SA"/>
        </w:rPr>
        <w:t>配备（中、高级）社会工作师和助理社会工作师。</w:t>
      </w:r>
    </w:p>
    <w:p w14:paraId="501970CC">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（2）其他服务要求</w:t>
      </w:r>
    </w:p>
    <w:p w14:paraId="526A8B9A">
      <w:pPr>
        <w:keepNext w:val="0"/>
        <w:keepLines w:val="0"/>
        <w:pageBreakBefore w:val="0"/>
        <w:kinsoku/>
        <w:wordWrap/>
        <w:overflowPunct/>
        <w:topLinePunct w:val="0"/>
        <w:autoSpaceDE/>
        <w:autoSpaceDN/>
        <w:bidi w:val="0"/>
        <w:adjustRightInd/>
        <w:snapToGrid/>
        <w:spacing w:after="0" w:line="400" w:lineRule="exact"/>
        <w:ind w:firstLine="630" w:firstLineChars="3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乙方应与项目人员建立劳动关系，订立和履行劳动合同，支付工资并交纳相关的社会保险金等费用。其中社工人力成本发放应符合《东莞市人民政府办公室关于印发〈东莞市政府购买社会工作服务实施办法〉的通知》（东府办〔2021〕8号）以及《东莞市民政局 东莞市财政局关于印发〈政府购买社会工作服务资金使用管理办法〉的通知》（东民规〔2021〕2号）有关规定。</w:t>
      </w:r>
    </w:p>
    <w:p w14:paraId="4930955F">
      <w:pPr>
        <w:keepNext w:val="0"/>
        <w:keepLines w:val="0"/>
        <w:pageBreakBefore w:val="0"/>
        <w:kinsoku/>
        <w:wordWrap/>
        <w:overflowPunct/>
        <w:topLinePunct w:val="0"/>
        <w:autoSpaceDE/>
        <w:autoSpaceDN/>
        <w:bidi w:val="0"/>
        <w:adjustRightInd/>
        <w:snapToGrid/>
        <w:spacing w:after="0" w:line="400" w:lineRule="exact"/>
        <w:ind w:firstLine="630" w:firstLineChars="3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乙方应安排符合要求的项目人员，并提前向甲方及东莞市婚姻登记管理中心书面报备项目人员名单，经同意后方可安排上岗。如有人员变更的，需提前报备，征得甲方及东莞市婚姻登记管理中心同意后方可变更。东莞市婚姻登记管理中心应每月核准乙方项目人员在岗情况，并向甲方报送乙方项目人员在岗情况。</w:t>
      </w:r>
    </w:p>
    <w:p w14:paraId="24646198">
      <w:pPr>
        <w:keepNext w:val="0"/>
        <w:keepLines w:val="0"/>
        <w:pageBreakBefore w:val="0"/>
        <w:kinsoku/>
        <w:wordWrap/>
        <w:overflowPunct/>
        <w:topLinePunct w:val="0"/>
        <w:autoSpaceDE/>
        <w:autoSpaceDN/>
        <w:bidi w:val="0"/>
        <w:adjustRightInd/>
        <w:snapToGrid/>
        <w:spacing w:after="0" w:line="400" w:lineRule="exact"/>
        <w:ind w:firstLine="630" w:firstLineChars="3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3）合同期内，乙方应每季度提交社工项目工作报告；运营满6个月、合同结束后10个工作日内提交社工项目总结报告。上述报告须经东莞市婚姻登记管理中心审核确认后再报送甲方。</w:t>
      </w:r>
    </w:p>
    <w:p w14:paraId="2E067CF3">
      <w:pPr>
        <w:pStyle w:val="7"/>
        <w:keepNext w:val="0"/>
        <w:keepLines w:val="0"/>
        <w:pageBreakBefore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color w:val="auto"/>
          <w:sz w:val="21"/>
          <w:szCs w:val="21"/>
          <w:highlight w:val="none"/>
          <w:lang w:val="en-US" w:eastAsia="zh-CN" w:bidi="zh-CN"/>
        </w:rPr>
      </w:pPr>
      <w:r>
        <w:rPr>
          <w:rFonts w:hint="eastAsia"/>
          <w:color w:val="auto"/>
          <w:sz w:val="21"/>
          <w:szCs w:val="21"/>
          <w:highlight w:val="none"/>
          <w:lang w:val="en-US" w:eastAsia="zh-CN"/>
        </w:rPr>
        <w:t>4</w:t>
      </w:r>
      <w:r>
        <w:rPr>
          <w:rFonts w:hint="eastAsia" w:ascii="宋体" w:hAnsi="宋体" w:eastAsia="宋体"/>
          <w:color w:val="auto"/>
          <w:sz w:val="21"/>
          <w:szCs w:val="21"/>
          <w:highlight w:val="none"/>
          <w:lang w:val="en-US" w:eastAsia="zh-CN"/>
        </w:rPr>
        <w:t>）</w:t>
      </w:r>
      <w:r>
        <w:rPr>
          <w:rFonts w:hint="eastAsia" w:cs="宋体"/>
          <w:color w:val="auto"/>
          <w:sz w:val="21"/>
          <w:szCs w:val="21"/>
          <w:highlight w:val="none"/>
          <w:lang w:val="en-US" w:eastAsia="zh-CN"/>
        </w:rPr>
        <w:t>合同期内，中标人应制定督导制度和年度督导计划，</w:t>
      </w:r>
      <w:r>
        <w:rPr>
          <w:rFonts w:hint="eastAsia" w:ascii="宋体" w:hAnsi="宋体" w:eastAsia="宋体" w:cs="宋体"/>
          <w:color w:val="auto"/>
          <w:sz w:val="21"/>
          <w:szCs w:val="21"/>
          <w:highlight w:val="none"/>
          <w:lang w:val="en-US" w:eastAsia="zh-CN" w:bidi="zh-CN"/>
        </w:rPr>
        <w:t>安排督导人员每月至少开展1次现场督导，加强项目人员的专业能力建设，督导服务结束后，需向采购人提交督导</w:t>
      </w:r>
      <w:r>
        <w:rPr>
          <w:rFonts w:hint="eastAsia" w:cs="宋体"/>
          <w:color w:val="auto"/>
          <w:sz w:val="21"/>
          <w:szCs w:val="21"/>
          <w:highlight w:val="none"/>
          <w:lang w:val="en-US" w:eastAsia="zh-CN" w:bidi="zh-CN"/>
        </w:rPr>
        <w:t>服务记录</w:t>
      </w:r>
      <w:r>
        <w:rPr>
          <w:rFonts w:hint="eastAsia" w:ascii="宋体" w:hAnsi="宋体" w:eastAsia="宋体" w:cs="宋体"/>
          <w:color w:val="auto"/>
          <w:sz w:val="21"/>
          <w:szCs w:val="21"/>
          <w:highlight w:val="none"/>
          <w:lang w:val="en-US" w:eastAsia="zh-CN" w:bidi="zh-CN"/>
        </w:rPr>
        <w:t>。</w:t>
      </w:r>
    </w:p>
    <w:p w14:paraId="67364CB3">
      <w:pPr>
        <w:pStyle w:val="7"/>
        <w:keepNext w:val="0"/>
        <w:keepLines w:val="0"/>
        <w:pageBreakBefore w:val="0"/>
        <w:kinsoku/>
        <w:wordWrap/>
        <w:overflowPunct/>
        <w:topLinePunct w:val="0"/>
        <w:autoSpaceDE/>
        <w:autoSpaceDN/>
        <w:bidi w:val="0"/>
        <w:spacing w:before="0" w:after="0" w:line="360" w:lineRule="exact"/>
        <w:ind w:firstLine="420" w:firstLineChars="200"/>
        <w:textAlignment w:val="auto"/>
        <w:rPr>
          <w:rFonts w:hint="default" w:ascii="宋体" w:hAnsi="宋体" w:eastAsia="宋体" w:cs="宋体"/>
          <w:color w:val="auto"/>
          <w:sz w:val="21"/>
          <w:szCs w:val="21"/>
          <w:highlight w:val="none"/>
          <w:lang w:val="en-US" w:eastAsia="zh-CN" w:bidi="zh-CN"/>
        </w:rPr>
      </w:pPr>
      <w:r>
        <w:rPr>
          <w:rFonts w:hint="eastAsia"/>
          <w:color w:val="auto"/>
          <w:sz w:val="21"/>
          <w:szCs w:val="21"/>
          <w:highlight w:val="none"/>
          <w:lang w:val="en-US" w:eastAsia="zh-CN"/>
        </w:rPr>
        <w:t>5</w:t>
      </w:r>
      <w:r>
        <w:rPr>
          <w:rFonts w:hint="eastAsia" w:ascii="宋体" w:hAnsi="宋体" w:eastAsia="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zh-CN"/>
        </w:rPr>
        <w:t>在合同初期，中标</w:t>
      </w:r>
      <w:r>
        <w:rPr>
          <w:rFonts w:hint="eastAsia" w:cs="宋体"/>
          <w:color w:val="auto"/>
          <w:sz w:val="21"/>
          <w:szCs w:val="21"/>
          <w:highlight w:val="none"/>
          <w:lang w:val="en-US" w:eastAsia="zh-CN" w:bidi="zh-CN"/>
        </w:rPr>
        <w:t>人</w:t>
      </w:r>
      <w:r>
        <w:rPr>
          <w:rFonts w:hint="eastAsia" w:ascii="宋体" w:hAnsi="宋体" w:eastAsia="宋体" w:cs="宋体"/>
          <w:color w:val="auto"/>
          <w:sz w:val="21"/>
          <w:szCs w:val="21"/>
          <w:highlight w:val="none"/>
          <w:lang w:val="en-US" w:eastAsia="zh-CN" w:bidi="zh-CN"/>
        </w:rPr>
        <w:t>需制定与项目要求相符的服务计划，明确服务目标</w:t>
      </w:r>
      <w:r>
        <w:rPr>
          <w:rFonts w:hint="eastAsia" w:cs="宋体"/>
          <w:color w:val="auto"/>
          <w:sz w:val="21"/>
          <w:szCs w:val="21"/>
          <w:highlight w:val="none"/>
          <w:lang w:val="en-US" w:eastAsia="zh-CN" w:bidi="zh-CN"/>
        </w:rPr>
        <w:t>及成效评估方案</w:t>
      </w:r>
      <w:r>
        <w:rPr>
          <w:rFonts w:hint="eastAsia" w:ascii="宋体" w:hAnsi="宋体" w:eastAsia="宋体" w:cs="宋体"/>
          <w:color w:val="auto"/>
          <w:sz w:val="21"/>
          <w:szCs w:val="21"/>
          <w:highlight w:val="none"/>
          <w:lang w:val="en-US" w:eastAsia="zh-CN" w:bidi="zh-CN"/>
        </w:rPr>
        <w:t>；合同期结束后，</w:t>
      </w:r>
      <w:r>
        <w:rPr>
          <w:rFonts w:hint="eastAsia" w:cs="宋体"/>
          <w:color w:val="auto"/>
          <w:sz w:val="21"/>
          <w:szCs w:val="21"/>
          <w:highlight w:val="none"/>
          <w:lang w:val="en-US" w:eastAsia="zh-CN" w:bidi="zh-CN"/>
        </w:rPr>
        <w:t>需</w:t>
      </w:r>
      <w:r>
        <w:rPr>
          <w:rFonts w:hint="eastAsia" w:ascii="宋体" w:hAnsi="宋体" w:eastAsia="宋体" w:cs="宋体"/>
          <w:color w:val="auto"/>
          <w:sz w:val="21"/>
          <w:szCs w:val="21"/>
          <w:highlight w:val="none"/>
          <w:lang w:val="en-US" w:eastAsia="zh-CN" w:bidi="zh-CN"/>
        </w:rPr>
        <w:t>对服务内容、过程、目标达成情况等内容进行成效评估并</w:t>
      </w:r>
      <w:r>
        <w:rPr>
          <w:rFonts w:hint="eastAsia" w:cs="宋体"/>
          <w:color w:val="auto"/>
          <w:sz w:val="21"/>
          <w:szCs w:val="21"/>
          <w:highlight w:val="none"/>
          <w:lang w:val="en-US" w:eastAsia="zh-CN" w:bidi="zh-CN"/>
        </w:rPr>
        <w:t>形成服务总结报告。</w:t>
      </w:r>
    </w:p>
    <w:p w14:paraId="350CEE9D">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lang w:val="en-US" w:eastAsia="zh-CN"/>
        </w:rPr>
        <w:t>4</w:t>
      </w:r>
      <w:r>
        <w:rPr>
          <w:rFonts w:hint="eastAsia" w:ascii="宋体" w:hAnsi="宋体" w:eastAsia="宋体" w:cs="仿宋"/>
          <w:color w:val="auto"/>
          <w:sz w:val="21"/>
          <w:szCs w:val="21"/>
          <w:highlight w:val="none"/>
          <w:shd w:val="clear" w:color="auto" w:fill="FFFFFF"/>
        </w:rPr>
        <w:t>、具体采购内容采购标准及要求以招标文件用户需求书及乙方投标文件承诺条款及方案为准。</w:t>
      </w:r>
    </w:p>
    <w:p w14:paraId="65D88C5A">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lang w:val="en-US" w:eastAsia="zh-CN"/>
        </w:rPr>
        <w:t>5、</w:t>
      </w:r>
      <w:r>
        <w:rPr>
          <w:rFonts w:hint="default" w:ascii="宋体" w:hAnsi="宋体" w:eastAsia="宋体" w:cs="仿宋"/>
          <w:color w:val="auto"/>
          <w:sz w:val="21"/>
          <w:szCs w:val="21"/>
          <w:highlight w:val="none"/>
          <w:shd w:val="clear" w:color="auto" w:fill="FFFFFF"/>
        </w:rPr>
        <w:t>培训要求</w:t>
      </w:r>
    </w:p>
    <w:p w14:paraId="7CB55A8D">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olor w:val="auto"/>
          <w:sz w:val="21"/>
          <w:szCs w:val="21"/>
          <w:highlight w:val="none"/>
          <w:lang w:val="en-US" w:eastAsia="zh-CN"/>
        </w:rPr>
        <w:t>（1）</w:t>
      </w:r>
      <w:r>
        <w:rPr>
          <w:rFonts w:hint="default" w:ascii="宋体" w:hAnsi="宋体" w:eastAsia="宋体" w:cs="仿宋"/>
          <w:color w:val="auto"/>
          <w:sz w:val="21"/>
          <w:szCs w:val="21"/>
          <w:highlight w:val="none"/>
          <w:shd w:val="clear" w:color="auto" w:fill="FFFFFF"/>
        </w:rPr>
        <w:t>培训对象。服务期内，乙方须针对拟投入项目人员开展培训。</w:t>
      </w:r>
    </w:p>
    <w:p w14:paraId="1EFF2EB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olor w:val="auto"/>
          <w:sz w:val="21"/>
          <w:szCs w:val="21"/>
          <w:highlight w:val="none"/>
          <w:lang w:val="en-US" w:eastAsia="zh-CN"/>
        </w:rPr>
        <w:t>（2）</w:t>
      </w:r>
      <w:r>
        <w:rPr>
          <w:rFonts w:hint="default" w:ascii="宋体" w:hAnsi="宋体" w:eastAsia="宋体" w:cs="仿宋"/>
          <w:color w:val="auto"/>
          <w:sz w:val="21"/>
          <w:szCs w:val="21"/>
          <w:highlight w:val="none"/>
          <w:shd w:val="clear" w:color="auto" w:fill="FFFFFF"/>
        </w:rPr>
        <w:t>培训内容与形式。培训内容可包括社会工作理论、实务技巧、团队管理、项目管理等内容。培训形式可采用集中培训、线上授课、专题讲座、工作坊、参访交流等多种形式。</w:t>
      </w:r>
    </w:p>
    <w:p w14:paraId="700F0C45">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olor w:val="auto"/>
          <w:sz w:val="21"/>
          <w:szCs w:val="21"/>
          <w:highlight w:val="none"/>
          <w:lang w:val="en-US" w:eastAsia="zh-CN"/>
        </w:rPr>
        <w:t>（3）</w:t>
      </w:r>
      <w:r>
        <w:rPr>
          <w:rFonts w:hint="default" w:ascii="宋体" w:hAnsi="宋体" w:eastAsia="宋体" w:cs="仿宋"/>
          <w:color w:val="auto"/>
          <w:sz w:val="21"/>
          <w:szCs w:val="21"/>
          <w:highlight w:val="none"/>
          <w:shd w:val="clear" w:color="auto" w:fill="FFFFFF"/>
        </w:rPr>
        <w:t>培训时长要求。服务期内乙方须针对拟投入项目人员定期开展培训，保证培训时长每年不少于24小时。项目实施期间，乙方因不可控因素导致无法开展线下培训的，经甲方</w:t>
      </w:r>
      <w:r>
        <w:rPr>
          <w:rFonts w:hint="eastAsia" w:ascii="宋体" w:hAnsi="宋体" w:eastAsia="宋体" w:cs="仿宋"/>
          <w:color w:val="auto"/>
          <w:sz w:val="21"/>
          <w:szCs w:val="21"/>
          <w:highlight w:val="none"/>
          <w:shd w:val="clear" w:color="auto" w:fill="FFFFFF"/>
          <w:lang w:val="en-US" w:eastAsia="zh-CN"/>
        </w:rPr>
        <w:t>书面</w:t>
      </w:r>
      <w:r>
        <w:rPr>
          <w:rFonts w:hint="default" w:ascii="宋体" w:hAnsi="宋体" w:eastAsia="宋体" w:cs="仿宋"/>
          <w:color w:val="auto"/>
          <w:sz w:val="21"/>
          <w:szCs w:val="21"/>
          <w:highlight w:val="none"/>
          <w:shd w:val="clear" w:color="auto" w:fill="FFFFFF"/>
        </w:rPr>
        <w:t>同意后可调整授课形式。</w:t>
      </w:r>
    </w:p>
    <w:p w14:paraId="24F56CA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lang w:val="en-US" w:eastAsia="zh-CN"/>
        </w:rPr>
        <w:t>（4）</w:t>
      </w:r>
      <w:r>
        <w:rPr>
          <w:rFonts w:hint="default" w:ascii="宋体" w:hAnsi="宋体" w:eastAsia="宋体" w:cs="仿宋"/>
          <w:color w:val="auto"/>
          <w:sz w:val="21"/>
          <w:szCs w:val="21"/>
          <w:highlight w:val="none"/>
          <w:shd w:val="clear" w:color="auto" w:fill="FFFFFF"/>
        </w:rPr>
        <w:t>课程及讲师要求。培训课程内容主要为婚姻家庭辅导知识、管理知识以及社会工作实务所需的其它专业知识；须根据课程设计组织符合资质的人担任授课讲师，可包括高校社会工作专业教师、具备丰富社会服务经验的资深社会服务人士或其它相关专业人员。</w:t>
      </w:r>
    </w:p>
    <w:p w14:paraId="33706DE4">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lang w:val="en-US" w:eastAsia="zh-CN"/>
        </w:rPr>
        <w:t>6、</w:t>
      </w:r>
      <w:r>
        <w:rPr>
          <w:rFonts w:hint="default" w:ascii="宋体" w:hAnsi="宋体" w:eastAsia="宋体" w:cs="仿宋"/>
          <w:color w:val="auto"/>
          <w:sz w:val="21"/>
          <w:szCs w:val="21"/>
          <w:highlight w:val="none"/>
          <w:shd w:val="clear" w:color="auto" w:fill="FFFFFF"/>
        </w:rPr>
        <w:t>质量保证服务要求</w:t>
      </w:r>
    </w:p>
    <w:p w14:paraId="2C3D265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lang w:val="en-US" w:eastAsia="zh-CN"/>
        </w:rPr>
        <w:t>（1）</w:t>
      </w:r>
      <w:r>
        <w:rPr>
          <w:rFonts w:hint="default" w:ascii="宋体" w:hAnsi="宋体" w:eastAsia="宋体" w:cs="仿宋"/>
          <w:color w:val="auto"/>
          <w:sz w:val="21"/>
          <w:szCs w:val="21"/>
          <w:highlight w:val="none"/>
          <w:shd w:val="clear" w:color="auto" w:fill="FFFFFF"/>
        </w:rPr>
        <w:t>乙方应建立全面的质量保证体系，明确各环节的质量标准和要求，确保整个项目服务过程的顺利进行。</w:t>
      </w:r>
    </w:p>
    <w:p w14:paraId="058A65C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lang w:val="en-US" w:eastAsia="zh-CN"/>
        </w:rPr>
        <w:t>（2）</w:t>
      </w:r>
      <w:r>
        <w:rPr>
          <w:rFonts w:hint="default" w:ascii="宋体" w:hAnsi="宋体" w:eastAsia="宋体" w:cs="仿宋"/>
          <w:color w:val="auto"/>
          <w:sz w:val="21"/>
          <w:szCs w:val="21"/>
          <w:highlight w:val="none"/>
          <w:shd w:val="clear" w:color="auto" w:fill="FFFFFF"/>
        </w:rPr>
        <w:t>乙方应制定详细的质量检查表，对每个环节进行定期检查和评估，及时发现并解决问题，确保服务质量符合预定标准。</w:t>
      </w:r>
    </w:p>
    <w:p w14:paraId="39A6F651">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lang w:eastAsia="zh-CN"/>
        </w:rPr>
        <w:t>（</w:t>
      </w:r>
      <w:r>
        <w:rPr>
          <w:rFonts w:hint="eastAsia" w:ascii="宋体" w:hAnsi="宋体" w:eastAsia="宋体" w:cs="仿宋"/>
          <w:color w:val="auto"/>
          <w:sz w:val="21"/>
          <w:szCs w:val="21"/>
          <w:highlight w:val="none"/>
          <w:shd w:val="clear" w:color="auto" w:fill="FFFFFF"/>
          <w:lang w:val="en-US" w:eastAsia="zh-CN"/>
        </w:rPr>
        <w:t>3</w:t>
      </w:r>
      <w:r>
        <w:rPr>
          <w:rFonts w:hint="eastAsia" w:ascii="宋体" w:hAnsi="宋体" w:eastAsia="宋体" w:cs="仿宋"/>
          <w:color w:val="auto"/>
          <w:sz w:val="21"/>
          <w:szCs w:val="21"/>
          <w:highlight w:val="none"/>
          <w:shd w:val="clear" w:color="auto" w:fill="FFFFFF"/>
          <w:lang w:eastAsia="zh-CN"/>
        </w:rPr>
        <w:t>）</w:t>
      </w:r>
      <w:r>
        <w:rPr>
          <w:rFonts w:hint="default" w:ascii="宋体" w:hAnsi="宋体" w:eastAsia="宋体" w:cs="仿宋"/>
          <w:color w:val="auto"/>
          <w:sz w:val="21"/>
          <w:szCs w:val="21"/>
          <w:highlight w:val="none"/>
          <w:shd w:val="clear" w:color="auto" w:fill="FFFFFF"/>
        </w:rPr>
        <w:t>在服务过程中，如出现质量问题或收到投诉，乙方应迅速响应并及时处理，以保障服务对象的合法权益。</w:t>
      </w:r>
    </w:p>
    <w:p w14:paraId="6369ABE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lang w:val="en-US" w:eastAsia="zh-CN"/>
        </w:rPr>
        <w:t>7、</w:t>
      </w:r>
      <w:r>
        <w:rPr>
          <w:rFonts w:hint="default" w:ascii="宋体" w:hAnsi="宋体" w:eastAsia="宋体" w:cs="仿宋"/>
          <w:color w:val="auto"/>
          <w:sz w:val="21"/>
          <w:szCs w:val="21"/>
          <w:highlight w:val="none"/>
          <w:shd w:val="clear" w:color="auto" w:fill="FFFFFF"/>
        </w:rPr>
        <w:t>组织架构要求</w:t>
      </w:r>
    </w:p>
    <w:p w14:paraId="05BB5E26">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lang w:val="en-US" w:eastAsia="zh-CN"/>
        </w:rPr>
        <w:t>（1）</w:t>
      </w:r>
      <w:r>
        <w:rPr>
          <w:rFonts w:hint="default" w:ascii="宋体" w:hAnsi="宋体" w:eastAsia="宋体" w:cs="仿宋"/>
          <w:color w:val="auto"/>
          <w:sz w:val="21"/>
          <w:szCs w:val="21"/>
          <w:highlight w:val="none"/>
          <w:shd w:val="clear" w:color="auto" w:fill="FFFFFF"/>
        </w:rPr>
        <w:t>乙方应具备完善的组织管理架构及岗位职责。</w:t>
      </w:r>
    </w:p>
    <w:p w14:paraId="1E715E1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lang w:val="en-US" w:eastAsia="zh-CN"/>
        </w:rPr>
        <w:t>（2）</w:t>
      </w:r>
      <w:r>
        <w:rPr>
          <w:rFonts w:hint="default" w:ascii="宋体" w:hAnsi="宋体" w:eastAsia="宋体" w:cs="仿宋"/>
          <w:color w:val="auto"/>
          <w:sz w:val="21"/>
          <w:szCs w:val="21"/>
          <w:highlight w:val="none"/>
          <w:shd w:val="clear" w:color="auto" w:fill="FFFFFF"/>
        </w:rPr>
        <w:t>乙方应具备有利于本项目实施的管理服务理念与管理模式。</w:t>
      </w:r>
    </w:p>
    <w:p w14:paraId="1CD9962A">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color w:val="auto"/>
          <w:highlight w:val="none"/>
        </w:rPr>
      </w:pPr>
      <w:r>
        <w:rPr>
          <w:rFonts w:hint="eastAsia" w:ascii="宋体" w:hAnsi="宋体" w:eastAsia="宋体" w:cs="仿宋"/>
          <w:color w:val="auto"/>
          <w:sz w:val="21"/>
          <w:szCs w:val="21"/>
          <w:highlight w:val="none"/>
          <w:shd w:val="clear" w:color="auto" w:fill="FFFFFF"/>
          <w:lang w:eastAsia="zh-CN"/>
        </w:rPr>
        <w:t>（</w:t>
      </w:r>
      <w:r>
        <w:rPr>
          <w:rFonts w:hint="eastAsia" w:ascii="宋体" w:hAnsi="宋体" w:eastAsia="宋体" w:cs="仿宋"/>
          <w:color w:val="auto"/>
          <w:sz w:val="21"/>
          <w:szCs w:val="21"/>
          <w:highlight w:val="none"/>
          <w:shd w:val="clear" w:color="auto" w:fill="FFFFFF"/>
          <w:lang w:val="en-US" w:eastAsia="zh-CN"/>
        </w:rPr>
        <w:t>3</w:t>
      </w:r>
      <w:r>
        <w:rPr>
          <w:rFonts w:hint="eastAsia" w:ascii="宋体" w:hAnsi="宋体" w:eastAsia="宋体" w:cs="仿宋"/>
          <w:color w:val="auto"/>
          <w:sz w:val="21"/>
          <w:szCs w:val="21"/>
          <w:highlight w:val="none"/>
          <w:shd w:val="clear" w:color="auto" w:fill="FFFFFF"/>
          <w:lang w:eastAsia="zh-CN"/>
        </w:rPr>
        <w:t>）</w:t>
      </w:r>
      <w:r>
        <w:rPr>
          <w:rFonts w:hint="default" w:ascii="宋体" w:hAnsi="宋体" w:eastAsia="宋体" w:cs="仿宋"/>
          <w:color w:val="auto"/>
          <w:sz w:val="21"/>
          <w:szCs w:val="21"/>
          <w:highlight w:val="none"/>
          <w:shd w:val="clear" w:color="auto" w:fill="FFFFFF"/>
        </w:rPr>
        <w:t>乙方应建立完善的员工选拔和培训机制，确保服务人员具备专业技能和良好的职业素养。</w:t>
      </w:r>
    </w:p>
    <w:p w14:paraId="13E80047">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第四条 合同价</w:t>
      </w:r>
    </w:p>
    <w:p w14:paraId="49929B31">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1、合同总价包含：人员工资及福利费用、社保费用、管理费、开展活动用的物资成本费用、培训费用、各种税费及合同实施过程中的不可预见费用等全部费用。</w:t>
      </w:r>
    </w:p>
    <w:p w14:paraId="3B5655B5">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 xml:space="preserve">2、合同总价：（人民币）大写 </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w:t>
      </w:r>
    </w:p>
    <w:p w14:paraId="0CAB4047">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lang w:eastAsia="zh-CN"/>
        </w:rPr>
        <w:t>乙方</w:t>
      </w:r>
      <w:r>
        <w:rPr>
          <w:rFonts w:hint="default" w:ascii="宋体" w:hAnsi="宋体" w:eastAsia="宋体"/>
          <w:color w:val="auto"/>
          <w:sz w:val="21"/>
          <w:szCs w:val="21"/>
          <w:highlight w:val="none"/>
        </w:rPr>
        <w:t>要严格按照《东莞市民政局 东莞市财政局关于印发〈政府购买社会工作服务资金使用管理办法〉的通知》（东民规〔2021〕2号）要求使用项目经费。合同期结束后，服务活动成本有结余的，</w:t>
      </w:r>
      <w:bookmarkStart w:id="86" w:name="OLE_LINK3"/>
      <w:r>
        <w:rPr>
          <w:rFonts w:hint="default" w:ascii="宋体" w:hAnsi="宋体" w:eastAsia="宋体"/>
          <w:color w:val="auto"/>
          <w:sz w:val="21"/>
          <w:szCs w:val="21"/>
          <w:highlight w:val="none"/>
        </w:rPr>
        <w:t>需将结余部分</w:t>
      </w:r>
      <w:r>
        <w:rPr>
          <w:rFonts w:hint="eastAsia" w:ascii="宋体" w:hAnsi="宋体" w:eastAsia="宋体"/>
          <w:color w:val="auto"/>
          <w:sz w:val="21"/>
          <w:szCs w:val="21"/>
          <w:highlight w:val="none"/>
          <w:lang w:eastAsia="zh-CN"/>
        </w:rPr>
        <w:t>于合同结束后五个工作日内</w:t>
      </w:r>
      <w:r>
        <w:rPr>
          <w:rFonts w:hint="default" w:ascii="宋体" w:hAnsi="宋体" w:eastAsia="宋体"/>
          <w:color w:val="auto"/>
          <w:sz w:val="21"/>
          <w:szCs w:val="21"/>
          <w:highlight w:val="none"/>
        </w:rPr>
        <w:t>退回</w:t>
      </w:r>
      <w:r>
        <w:rPr>
          <w:rFonts w:hint="eastAsia" w:ascii="宋体" w:hAnsi="宋体" w:eastAsia="宋体"/>
          <w:color w:val="auto"/>
          <w:sz w:val="21"/>
          <w:szCs w:val="21"/>
          <w:highlight w:val="none"/>
          <w:lang w:eastAsia="zh-CN"/>
        </w:rPr>
        <w:t>甲方</w:t>
      </w:r>
      <w:r>
        <w:rPr>
          <w:rFonts w:hint="default" w:ascii="宋体" w:hAnsi="宋体" w:eastAsia="宋体"/>
          <w:color w:val="auto"/>
          <w:sz w:val="21"/>
          <w:szCs w:val="21"/>
          <w:highlight w:val="none"/>
        </w:rPr>
        <w:t>。</w:t>
      </w:r>
    </w:p>
    <w:bookmarkEnd w:id="86"/>
    <w:p w14:paraId="51689EA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default" w:ascii="宋体" w:hAnsi="宋体" w:eastAsia="宋体"/>
          <w:color w:val="auto"/>
          <w:sz w:val="21"/>
          <w:szCs w:val="21"/>
          <w:highlight w:val="none"/>
        </w:rPr>
        <w:t>如项目期内，</w:t>
      </w:r>
      <w:r>
        <w:rPr>
          <w:rFonts w:hint="eastAsia" w:ascii="宋体" w:hAnsi="宋体" w:eastAsia="宋体"/>
          <w:color w:val="auto"/>
          <w:sz w:val="21"/>
          <w:szCs w:val="21"/>
          <w:highlight w:val="none"/>
          <w:lang w:eastAsia="zh-CN"/>
        </w:rPr>
        <w:t>乙方</w:t>
      </w:r>
      <w:r>
        <w:rPr>
          <w:rFonts w:hint="default" w:ascii="宋体" w:hAnsi="宋体" w:eastAsia="宋体"/>
          <w:color w:val="auto"/>
          <w:sz w:val="21"/>
          <w:szCs w:val="21"/>
          <w:highlight w:val="none"/>
        </w:rPr>
        <w:t>安排的项目人员存在缺岗情况，且缺岗时间超过15天以上（按自然日计算）仍未安排</w:t>
      </w:r>
      <w:r>
        <w:rPr>
          <w:rFonts w:hint="eastAsia" w:ascii="宋体" w:hAnsi="宋体" w:eastAsia="宋体"/>
          <w:color w:val="auto"/>
          <w:sz w:val="21"/>
          <w:szCs w:val="21"/>
          <w:highlight w:val="none"/>
          <w:lang w:val="en-US" w:eastAsia="zh-CN"/>
        </w:rPr>
        <w:t>同等条件</w:t>
      </w:r>
      <w:r>
        <w:rPr>
          <w:rFonts w:hint="default" w:ascii="宋体" w:hAnsi="宋体" w:eastAsia="宋体"/>
          <w:color w:val="auto"/>
          <w:sz w:val="21"/>
          <w:szCs w:val="21"/>
          <w:highlight w:val="none"/>
        </w:rPr>
        <w:t>人员上岗的，由</w:t>
      </w:r>
      <w:r>
        <w:rPr>
          <w:rFonts w:hint="eastAsia" w:ascii="宋体" w:hAnsi="宋体" w:eastAsia="宋体"/>
          <w:color w:val="auto"/>
          <w:sz w:val="21"/>
          <w:szCs w:val="21"/>
          <w:highlight w:val="none"/>
          <w:lang w:eastAsia="zh-CN"/>
        </w:rPr>
        <w:t>甲方</w:t>
      </w:r>
      <w:r>
        <w:rPr>
          <w:rFonts w:hint="default" w:ascii="宋体" w:hAnsi="宋体" w:eastAsia="宋体"/>
          <w:color w:val="auto"/>
          <w:sz w:val="21"/>
          <w:szCs w:val="21"/>
          <w:highlight w:val="none"/>
        </w:rPr>
        <w:t xml:space="preserve">根据缺岗天数扣减项目经费，具体如下: </w:t>
      </w:r>
    </w:p>
    <w:p w14:paraId="0F081D07">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lang w:eastAsia="zh-CN"/>
        </w:rPr>
        <w:t>）</w:t>
      </w:r>
      <w:r>
        <w:rPr>
          <w:rFonts w:hint="default" w:ascii="宋体" w:hAnsi="宋体" w:eastAsia="宋体"/>
          <w:color w:val="auto"/>
          <w:sz w:val="21"/>
          <w:szCs w:val="21"/>
          <w:highlight w:val="none"/>
        </w:rPr>
        <w:t xml:space="preserve">单个项目人员缺岗15天以上30天（含）以下的，按照每名项目人员人力成本的4%标准扣减； </w:t>
      </w:r>
    </w:p>
    <w:p w14:paraId="6E69A9FE">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lang w:eastAsia="zh-CN"/>
        </w:rPr>
        <w:t>）</w:t>
      </w:r>
      <w:r>
        <w:rPr>
          <w:rFonts w:hint="default" w:ascii="宋体" w:hAnsi="宋体" w:eastAsia="宋体"/>
          <w:color w:val="auto"/>
          <w:sz w:val="21"/>
          <w:szCs w:val="21"/>
          <w:highlight w:val="none"/>
        </w:rPr>
        <w:t>单个项目人员缺岗30天以上45天（含）以下，按照每名项目人员人力成本的8%标准扣减；</w:t>
      </w:r>
    </w:p>
    <w:p w14:paraId="2B196019">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lang w:eastAsia="zh-CN"/>
        </w:rPr>
        <w:t>）</w:t>
      </w:r>
      <w:r>
        <w:rPr>
          <w:rFonts w:hint="default" w:ascii="宋体" w:hAnsi="宋体" w:eastAsia="宋体"/>
          <w:color w:val="auto"/>
          <w:sz w:val="21"/>
          <w:szCs w:val="21"/>
          <w:highlight w:val="none"/>
        </w:rPr>
        <w:t xml:space="preserve">单个项目人员缺岗45天以上60天（含）以下的，按照每名项目人员人力成本的12%标准扣减。 </w:t>
      </w:r>
    </w:p>
    <w:p w14:paraId="3E870BE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w:t>
      </w:r>
      <w:r>
        <w:rPr>
          <w:rFonts w:hint="default" w:ascii="宋体" w:hAnsi="宋体" w:eastAsia="宋体"/>
          <w:color w:val="auto"/>
          <w:sz w:val="21"/>
          <w:szCs w:val="21"/>
          <w:highlight w:val="none"/>
        </w:rPr>
        <w:t>单个项目人员缺岗60天以上90天（含）以下的，按照每名项目人员人力成本的30%标准扣减。</w:t>
      </w:r>
    </w:p>
    <w:p w14:paraId="4FB9D80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lang w:eastAsia="zh-CN"/>
        </w:rPr>
        <w:t>）</w:t>
      </w:r>
      <w:r>
        <w:rPr>
          <w:rFonts w:hint="default" w:ascii="宋体" w:hAnsi="宋体" w:eastAsia="宋体"/>
          <w:color w:val="auto"/>
          <w:sz w:val="21"/>
          <w:szCs w:val="21"/>
          <w:highlight w:val="none"/>
        </w:rPr>
        <w:t xml:space="preserve">单个项目人员缺岗90天以上的，按照每名项目人员人力成本的100%标准扣减。 </w:t>
      </w:r>
    </w:p>
    <w:p w14:paraId="27EDEC9C">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val="en-US" w:eastAsia="zh-CN"/>
        </w:rPr>
      </w:pPr>
      <w:r>
        <w:rPr>
          <w:rFonts w:hint="default" w:ascii="宋体" w:hAnsi="宋体" w:eastAsia="宋体"/>
          <w:color w:val="auto"/>
          <w:sz w:val="21"/>
          <w:szCs w:val="21"/>
          <w:highlight w:val="none"/>
        </w:rPr>
        <w:t>（项目社工人力成本按照9.9万元标准计算</w:t>
      </w:r>
      <w:r>
        <w:rPr>
          <w:rFonts w:hint="default" w:ascii="宋体" w:hAnsi="宋体" w:eastAsia="宋体"/>
          <w:color w:val="auto"/>
          <w:sz w:val="21"/>
          <w:szCs w:val="21"/>
          <w:highlight w:val="none"/>
          <w:lang w:eastAsia="zh-CN"/>
        </w:rPr>
        <w:t>，</w:t>
      </w:r>
      <w:r>
        <w:rPr>
          <w:rFonts w:hint="default" w:ascii="宋体" w:hAnsi="宋体" w:eastAsia="宋体"/>
          <w:color w:val="auto"/>
          <w:sz w:val="21"/>
          <w:szCs w:val="21"/>
          <w:highlight w:val="none"/>
        </w:rPr>
        <w:t>如：项目有两名社工缺岗达20天，按照每名项目人员人力成本的4%标准扣减，则共需扣减9.9万元*4%*2</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以此类推</w:t>
      </w:r>
      <w:r>
        <w:rPr>
          <w:rFonts w:hint="default" w:ascii="宋体" w:hAnsi="宋体" w:eastAsia="宋体"/>
          <w:color w:val="auto"/>
          <w:sz w:val="21"/>
          <w:szCs w:val="21"/>
          <w:highlight w:val="none"/>
        </w:rPr>
        <w:t>） 。扣减部分先从未拨付经费中抵扣，未拨付经费不足以支付扣减部分的，由</w:t>
      </w:r>
      <w:r>
        <w:rPr>
          <w:rFonts w:hint="eastAsia" w:ascii="宋体" w:hAnsi="宋体" w:eastAsia="宋体"/>
          <w:color w:val="auto"/>
          <w:sz w:val="21"/>
          <w:szCs w:val="21"/>
          <w:highlight w:val="none"/>
          <w:lang w:eastAsia="zh-CN"/>
        </w:rPr>
        <w:t>乙方</w:t>
      </w:r>
      <w:r>
        <w:rPr>
          <w:rFonts w:hint="eastAsia" w:ascii="宋体" w:hAnsi="宋体" w:eastAsia="宋体"/>
          <w:color w:val="auto"/>
          <w:sz w:val="21"/>
          <w:szCs w:val="21"/>
          <w:highlight w:val="none"/>
          <w:lang w:val="en-US" w:eastAsia="zh-CN"/>
        </w:rPr>
        <w:t>知悉之日起五日内</w:t>
      </w:r>
      <w:r>
        <w:rPr>
          <w:rFonts w:hint="default" w:ascii="宋体" w:hAnsi="宋体" w:eastAsia="宋体"/>
          <w:color w:val="auto"/>
          <w:sz w:val="21"/>
          <w:szCs w:val="21"/>
          <w:highlight w:val="none"/>
        </w:rPr>
        <w:t>退还至</w:t>
      </w:r>
      <w:r>
        <w:rPr>
          <w:rFonts w:hint="eastAsia" w:ascii="宋体" w:hAnsi="宋体" w:eastAsia="宋体"/>
          <w:color w:val="auto"/>
          <w:sz w:val="21"/>
          <w:szCs w:val="21"/>
          <w:highlight w:val="none"/>
          <w:lang w:eastAsia="zh-CN"/>
        </w:rPr>
        <w:t>甲方</w:t>
      </w:r>
      <w:r>
        <w:rPr>
          <w:rFonts w:hint="default" w:ascii="宋体" w:hAnsi="宋体" w:eastAsia="宋体"/>
          <w:color w:val="auto"/>
          <w:sz w:val="21"/>
          <w:szCs w:val="21"/>
          <w:highlight w:val="none"/>
        </w:rPr>
        <w:t>指定账户</w:t>
      </w:r>
      <w:r>
        <w:rPr>
          <w:rFonts w:hint="eastAsia" w:ascii="宋体" w:hAnsi="宋体" w:eastAsia="宋体"/>
          <w:color w:val="auto"/>
          <w:sz w:val="21"/>
          <w:szCs w:val="21"/>
          <w:highlight w:val="none"/>
          <w:lang w:eastAsia="zh-CN"/>
        </w:rPr>
        <w:t>。</w:t>
      </w:r>
    </w:p>
    <w:p w14:paraId="437832C8">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第五条 服务期限及地点</w:t>
      </w:r>
    </w:p>
    <w:p w14:paraId="511CB9D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1、服务期：  年，合同生效之日自       年  月  日至     年  月  日止。</w:t>
      </w:r>
    </w:p>
    <w:p w14:paraId="495DB524">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u w:val="none"/>
          <w:lang w:eastAsia="zh-CN"/>
        </w:rPr>
      </w:pPr>
      <w:r>
        <w:rPr>
          <w:rFonts w:hint="eastAsia" w:ascii="宋体" w:hAnsi="宋体" w:eastAsia="宋体"/>
          <w:color w:val="auto"/>
          <w:sz w:val="21"/>
          <w:szCs w:val="21"/>
          <w:highlight w:val="none"/>
        </w:rPr>
        <w:t>2、服务地点：</w:t>
      </w:r>
      <w:r>
        <w:rPr>
          <w:rFonts w:hint="eastAsia" w:ascii="宋体" w:hAnsi="宋体" w:eastAsia="宋体"/>
          <w:color w:val="auto"/>
          <w:sz w:val="21"/>
          <w:szCs w:val="21"/>
          <w:highlight w:val="none"/>
          <w:u w:val="none"/>
          <w:lang w:eastAsia="zh-CN"/>
        </w:rPr>
        <w:t>东莞市婚姻登记管理中心。</w:t>
      </w:r>
    </w:p>
    <w:p w14:paraId="2A57F9AF">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第六条 付款方式</w:t>
      </w:r>
    </w:p>
    <w:p w14:paraId="10BC916B">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1、本合同的付款方式为：</w:t>
      </w:r>
    </w:p>
    <w:p w14:paraId="7955391F">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（1）待2026年财政预算下达经费后，</w:t>
      </w:r>
      <w:r>
        <w:rPr>
          <w:rFonts w:hint="eastAsia" w:ascii="宋体" w:hAnsi="宋体" w:eastAsia="宋体"/>
          <w:color w:val="auto"/>
          <w:sz w:val="21"/>
          <w:szCs w:val="21"/>
          <w:highlight w:val="none"/>
          <w:lang w:eastAsia="zh-CN"/>
        </w:rPr>
        <w:t>甲方</w:t>
      </w:r>
      <w:r>
        <w:rPr>
          <w:rFonts w:hint="eastAsia" w:ascii="宋体" w:hAnsi="宋体" w:eastAsia="宋体"/>
          <w:color w:val="auto"/>
          <w:sz w:val="21"/>
          <w:szCs w:val="21"/>
          <w:highlight w:val="none"/>
        </w:rPr>
        <w:t>向</w:t>
      </w:r>
      <w:r>
        <w:rPr>
          <w:rFonts w:hint="eastAsia" w:ascii="宋体" w:hAnsi="宋体" w:eastAsia="宋体"/>
          <w:color w:val="auto"/>
          <w:sz w:val="21"/>
          <w:szCs w:val="21"/>
          <w:highlight w:val="none"/>
          <w:lang w:eastAsia="zh-CN"/>
        </w:rPr>
        <w:t>乙方</w:t>
      </w:r>
      <w:r>
        <w:rPr>
          <w:rFonts w:hint="eastAsia" w:ascii="宋体" w:hAnsi="宋体" w:eastAsia="宋体"/>
          <w:color w:val="auto"/>
          <w:sz w:val="21"/>
          <w:szCs w:val="21"/>
          <w:highlight w:val="none"/>
        </w:rPr>
        <w:t>支付项目30%合同经费。</w:t>
      </w:r>
    </w:p>
    <w:p w14:paraId="288DC253">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（2）项目运营满6个月并经</w:t>
      </w:r>
      <w:r>
        <w:rPr>
          <w:rFonts w:hint="eastAsia" w:ascii="宋体" w:hAnsi="宋体" w:eastAsia="宋体"/>
          <w:color w:val="auto"/>
          <w:sz w:val="21"/>
          <w:szCs w:val="21"/>
          <w:highlight w:val="none"/>
          <w:lang w:eastAsia="zh-CN"/>
        </w:rPr>
        <w:t>甲方</w:t>
      </w:r>
      <w:r>
        <w:rPr>
          <w:rFonts w:hint="eastAsia" w:ascii="宋体" w:hAnsi="宋体" w:eastAsia="宋体"/>
          <w:color w:val="auto"/>
          <w:sz w:val="21"/>
          <w:szCs w:val="21"/>
          <w:highlight w:val="none"/>
        </w:rPr>
        <w:t>验收合格后，</w:t>
      </w:r>
      <w:r>
        <w:rPr>
          <w:rFonts w:hint="eastAsia" w:ascii="宋体" w:hAnsi="宋体" w:eastAsia="宋体"/>
          <w:color w:val="auto"/>
          <w:sz w:val="21"/>
          <w:szCs w:val="21"/>
          <w:highlight w:val="none"/>
          <w:lang w:eastAsia="zh-CN"/>
        </w:rPr>
        <w:t>甲方</w:t>
      </w:r>
      <w:r>
        <w:rPr>
          <w:rFonts w:hint="eastAsia" w:ascii="宋体" w:hAnsi="宋体" w:eastAsia="宋体"/>
          <w:color w:val="auto"/>
          <w:sz w:val="21"/>
          <w:szCs w:val="21"/>
          <w:highlight w:val="none"/>
        </w:rPr>
        <w:t>向</w:t>
      </w:r>
      <w:r>
        <w:rPr>
          <w:rFonts w:hint="eastAsia" w:ascii="宋体" w:hAnsi="宋体" w:eastAsia="宋体"/>
          <w:color w:val="auto"/>
          <w:sz w:val="21"/>
          <w:szCs w:val="21"/>
          <w:highlight w:val="none"/>
          <w:lang w:eastAsia="zh-CN"/>
        </w:rPr>
        <w:t>乙方</w:t>
      </w:r>
      <w:r>
        <w:rPr>
          <w:rFonts w:hint="eastAsia" w:ascii="宋体" w:hAnsi="宋体" w:eastAsia="宋体"/>
          <w:color w:val="auto"/>
          <w:sz w:val="21"/>
          <w:szCs w:val="21"/>
          <w:highlight w:val="none"/>
        </w:rPr>
        <w:t>支付项目30%合同经费。</w:t>
      </w:r>
    </w:p>
    <w:p w14:paraId="1BCB2521">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（3）完成合同约定工作</w:t>
      </w:r>
      <w:r>
        <w:rPr>
          <w:rFonts w:hint="eastAsia" w:ascii="宋体" w:hAnsi="宋体"/>
          <w:color w:val="auto"/>
          <w:sz w:val="21"/>
          <w:szCs w:val="21"/>
          <w:highlight w:val="none"/>
          <w:lang w:eastAsia="zh-CN"/>
        </w:rPr>
        <w:t>并</w:t>
      </w:r>
      <w:r>
        <w:rPr>
          <w:rFonts w:hint="eastAsia" w:ascii="宋体" w:hAnsi="宋体" w:eastAsia="宋体"/>
          <w:color w:val="auto"/>
          <w:sz w:val="21"/>
          <w:szCs w:val="21"/>
          <w:highlight w:val="none"/>
        </w:rPr>
        <w:t>经</w:t>
      </w:r>
      <w:r>
        <w:rPr>
          <w:rFonts w:hint="eastAsia" w:ascii="宋体" w:hAnsi="宋体" w:eastAsia="宋体"/>
          <w:color w:val="auto"/>
          <w:sz w:val="21"/>
          <w:szCs w:val="21"/>
          <w:highlight w:val="none"/>
          <w:lang w:eastAsia="zh-CN"/>
        </w:rPr>
        <w:t>甲方</w:t>
      </w:r>
      <w:r>
        <w:rPr>
          <w:rFonts w:hint="eastAsia" w:ascii="宋体" w:hAnsi="宋体" w:eastAsia="宋体"/>
          <w:color w:val="auto"/>
          <w:sz w:val="21"/>
          <w:szCs w:val="21"/>
          <w:highlight w:val="none"/>
        </w:rPr>
        <w:t>验收合格后，</w:t>
      </w:r>
      <w:r>
        <w:rPr>
          <w:rFonts w:hint="eastAsia" w:ascii="宋体" w:hAnsi="宋体" w:eastAsia="宋体"/>
          <w:color w:val="auto"/>
          <w:sz w:val="21"/>
          <w:szCs w:val="21"/>
          <w:highlight w:val="none"/>
          <w:lang w:eastAsia="zh-CN"/>
        </w:rPr>
        <w:t>甲方</w:t>
      </w:r>
      <w:r>
        <w:rPr>
          <w:rFonts w:hint="eastAsia" w:ascii="宋体" w:hAnsi="宋体" w:eastAsia="宋体"/>
          <w:color w:val="auto"/>
          <w:sz w:val="21"/>
          <w:szCs w:val="21"/>
          <w:highlight w:val="none"/>
        </w:rPr>
        <w:t>向</w:t>
      </w:r>
      <w:r>
        <w:rPr>
          <w:rFonts w:hint="eastAsia" w:ascii="宋体" w:hAnsi="宋体" w:eastAsia="宋体"/>
          <w:color w:val="auto"/>
          <w:sz w:val="21"/>
          <w:szCs w:val="21"/>
          <w:highlight w:val="none"/>
          <w:lang w:eastAsia="zh-CN"/>
        </w:rPr>
        <w:t>乙方</w:t>
      </w:r>
      <w:r>
        <w:rPr>
          <w:rFonts w:hint="eastAsia" w:ascii="宋体" w:hAnsi="宋体" w:eastAsia="宋体"/>
          <w:color w:val="auto"/>
          <w:sz w:val="21"/>
          <w:szCs w:val="21"/>
          <w:highlight w:val="none"/>
        </w:rPr>
        <w:t>支付项目30%合同经费。</w:t>
      </w:r>
    </w:p>
    <w:p w14:paraId="01D01FD0">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（4）剩余10%合同经费根据项目考核评估结果拨付，评估结果为合格或以上的，余下10%合同经费全额支付；评估结果为不合格的，扣减余下10%合同经费。</w:t>
      </w:r>
    </w:p>
    <w:p w14:paraId="3D8992BA">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付款前乙方应向甲方提出请款申请及所需的材料和等额有效发票。若乙方未及时提供合法有效的发票，则付款时间顺延。本合同的经费由政府拨款，如因政策影响，拨款未能及时到位，乙方不得以此为由而不履行本合同规定的义务。否则，甲方按规定追究乙方违约责任。如果乙方怠于或者拒绝提供资料或者办理手续的，则因此产生的付款迟延的责任全部由乙方承担。</w:t>
      </w:r>
    </w:p>
    <w:p w14:paraId="22EC8C1F">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第七条 验收方式</w:t>
      </w:r>
    </w:p>
    <w:p w14:paraId="39BD401E">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1、验收应在甲乙双方共同参加下进行，依据本合同的有关规定进行验收，并按国家有关规定、规范进行。</w:t>
      </w:r>
    </w:p>
    <w:p w14:paraId="321A0BC9">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、对验收不合格的部分，乙方应在甲方规定时间内及时整改完善直至合格。</w:t>
      </w:r>
    </w:p>
    <w:p w14:paraId="62B21DBC">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heme="minorBidi"/>
          <w:b/>
          <w:bCs/>
          <w:color w:val="auto"/>
          <w:kern w:val="0"/>
          <w:sz w:val="21"/>
          <w:szCs w:val="21"/>
          <w:highlight w:val="none"/>
          <w:u w:val="none"/>
          <w:lang w:val="en-US" w:eastAsia="zh-CN" w:bidi="ar-SA"/>
        </w:rPr>
      </w:pPr>
      <w:r>
        <w:rPr>
          <w:rFonts w:hint="eastAsia" w:ascii="宋体" w:hAnsi="宋体" w:eastAsia="宋体" w:cstheme="minorBidi"/>
          <w:b/>
          <w:bCs/>
          <w:color w:val="auto"/>
          <w:kern w:val="0"/>
          <w:sz w:val="21"/>
          <w:szCs w:val="21"/>
          <w:highlight w:val="none"/>
          <w:u w:val="none"/>
          <w:lang w:val="en-US" w:eastAsia="zh-CN" w:bidi="ar-SA"/>
        </w:rPr>
        <w:t>第八条 保密</w:t>
      </w:r>
    </w:p>
    <w:p w14:paraId="78734B1D">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color w:val="auto"/>
          <w:kern w:val="0"/>
          <w:sz w:val="21"/>
          <w:szCs w:val="21"/>
          <w:highlight w:val="none"/>
          <w:u w:val="none"/>
          <w:lang w:val="en-US" w:eastAsia="zh-CN" w:bidi="ar-SA"/>
        </w:rPr>
      </w:pPr>
      <w:r>
        <w:rPr>
          <w:rFonts w:hint="eastAsia" w:ascii="宋体" w:hAnsi="宋体" w:eastAsia="宋体" w:cstheme="minorBidi"/>
          <w:color w:val="auto"/>
          <w:kern w:val="0"/>
          <w:sz w:val="21"/>
          <w:szCs w:val="21"/>
          <w:highlight w:val="none"/>
          <w:u w:val="none"/>
          <w:lang w:val="en-US" w:eastAsia="zh-CN" w:bidi="ar-SA"/>
        </w:rPr>
        <w:t>乙方应在履行合同过程对项目人员组好相关的保密提示，保证项目人员对所获悉的属于甲方或督导人员的且无法从公开渠道获得的文件资料及信息予以严格保密并应采取相应的保密措施，保证自身及项目人员不私自使用或向任何第三方泄露，若因乙方为做好相关提示保密工作而导致项目人员给甲方造成损失的，乙方应承担连带责任。无论本合同是否生效、变更、撤销、解除或终止，本保密条款不受其限制继续有效。</w:t>
      </w:r>
    </w:p>
    <w:p w14:paraId="22DCA40B">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w:t>
      </w:r>
      <w:r>
        <w:rPr>
          <w:rFonts w:hint="eastAsia" w:ascii="宋体" w:hAnsi="宋体" w:eastAsia="宋体" w:cstheme="minorBidi"/>
          <w:b/>
          <w:bCs/>
          <w:color w:val="auto"/>
          <w:kern w:val="0"/>
          <w:sz w:val="21"/>
          <w:szCs w:val="21"/>
          <w:highlight w:val="none"/>
          <w:u w:val="none"/>
          <w:lang w:val="en-US" w:eastAsia="zh-CN" w:bidi="ar-SA"/>
        </w:rPr>
        <w:t>九</w:t>
      </w:r>
      <w:r>
        <w:rPr>
          <w:rFonts w:hint="eastAsia" w:ascii="宋体" w:hAnsi="宋体" w:eastAsia="宋体"/>
          <w:b/>
          <w:color w:val="auto"/>
          <w:sz w:val="21"/>
          <w:szCs w:val="21"/>
          <w:highlight w:val="none"/>
        </w:rPr>
        <w:t>条 税和关税</w:t>
      </w:r>
    </w:p>
    <w:p w14:paraId="34605B72">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1、中国政府根据现行税法对甲方征收的与本合同有关的一切税费均应由甲方承担。</w:t>
      </w:r>
    </w:p>
    <w:p w14:paraId="72C1D95F">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2、中国政府根据现行税法规定对乙方或其雇员征收的与本合同有关的一切税费应由乙方承担。</w:t>
      </w:r>
    </w:p>
    <w:p w14:paraId="5698D51A">
      <w:pPr>
        <w:pStyle w:val="1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3、在中国境外发生的与本合同执行有关的一切税费均应由乙方承担。</w:t>
      </w:r>
    </w:p>
    <w:p w14:paraId="087343A1">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w:t>
      </w:r>
      <w:r>
        <w:rPr>
          <w:rFonts w:hint="eastAsia" w:ascii="宋体" w:hAnsi="宋体" w:eastAsia="宋体" w:cstheme="minorBidi"/>
          <w:b/>
          <w:bCs/>
          <w:color w:val="auto"/>
          <w:kern w:val="0"/>
          <w:sz w:val="21"/>
          <w:szCs w:val="21"/>
          <w:highlight w:val="none"/>
          <w:u w:val="none"/>
          <w:lang w:val="en-US" w:eastAsia="zh-CN" w:bidi="ar-SA"/>
        </w:rPr>
        <w:t>十</w:t>
      </w:r>
      <w:r>
        <w:rPr>
          <w:rFonts w:hint="eastAsia" w:ascii="宋体" w:hAnsi="宋体" w:eastAsia="宋体"/>
          <w:b/>
          <w:color w:val="auto"/>
          <w:sz w:val="21"/>
          <w:szCs w:val="21"/>
          <w:highlight w:val="none"/>
        </w:rPr>
        <w:t>条 其它约定</w:t>
      </w:r>
    </w:p>
    <w:p w14:paraId="1F677247">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、严禁转包，未经甲方书面同意不得分包。</w:t>
      </w:r>
    </w:p>
    <w:p w14:paraId="3C0030CD">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2、乙方全部工作人员，须符合东莞市政府用工标准要求。</w:t>
      </w:r>
    </w:p>
    <w:p w14:paraId="250DE4D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3、乙方服务人员进行服务期间的过失或故意行为，造成甲方经济损失的，由乙方负责赔偿。</w:t>
      </w:r>
    </w:p>
    <w:p w14:paraId="5F663A1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4、服务人员的劳动关系隶属乙方，乙方负责服务人员的工资、节假日和超时加班补助费、社会保险、住宿、伙食等。</w:t>
      </w:r>
    </w:p>
    <w:p w14:paraId="3C4AEF0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5、乙方负责本项目服务人员购买因意外身故或伤残和因意外事故住院治疗保险，并负责办理一切保险赔偿手续。</w:t>
      </w:r>
    </w:p>
    <w:p w14:paraId="6925477E">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w:t>
      </w:r>
      <w:r>
        <w:rPr>
          <w:rFonts w:hint="eastAsia" w:ascii="宋体" w:hAnsi="宋体" w:eastAsia="宋体" w:cstheme="minorBidi"/>
          <w:b/>
          <w:bCs/>
          <w:color w:val="auto"/>
          <w:kern w:val="0"/>
          <w:sz w:val="21"/>
          <w:szCs w:val="21"/>
          <w:highlight w:val="none"/>
          <w:u w:val="none"/>
          <w:lang w:val="en-US" w:eastAsia="zh-CN" w:bidi="ar-SA"/>
        </w:rPr>
        <w:t>十一</w:t>
      </w:r>
      <w:r>
        <w:rPr>
          <w:rFonts w:hint="eastAsia" w:ascii="宋体" w:hAnsi="宋体" w:eastAsia="宋体"/>
          <w:b/>
          <w:color w:val="auto"/>
          <w:sz w:val="21"/>
          <w:szCs w:val="21"/>
          <w:highlight w:val="none"/>
        </w:rPr>
        <w:t>条 违约责任</w:t>
      </w:r>
    </w:p>
    <w:p w14:paraId="42FE241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%的违约金。</w:t>
      </w:r>
    </w:p>
    <w:p w14:paraId="1D95AD4A">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2、由于乙方的原因，导致双方签订的合同终止，乙方因此而遭受的损失，将由乙方独立承担，甲方对此不负任何责任，也不作任何赔偿。</w:t>
      </w:r>
    </w:p>
    <w:bookmarkEnd w:id="85"/>
    <w:p w14:paraId="5DD139F5">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87" w:name="_Toc86481570"/>
      <w:r>
        <w:rPr>
          <w:rFonts w:hint="eastAsia" w:ascii="宋体" w:hAnsi="宋体" w:eastAsia="宋体"/>
          <w:b/>
          <w:color w:val="auto"/>
          <w:sz w:val="21"/>
          <w:szCs w:val="21"/>
          <w:highlight w:val="none"/>
        </w:rPr>
        <w:t>第</w:t>
      </w:r>
      <w:r>
        <w:rPr>
          <w:rFonts w:hint="eastAsia" w:ascii="宋体" w:hAnsi="宋体" w:eastAsia="宋体" w:cstheme="minorBidi"/>
          <w:b/>
          <w:bCs/>
          <w:color w:val="auto"/>
          <w:kern w:val="0"/>
          <w:sz w:val="21"/>
          <w:szCs w:val="21"/>
          <w:highlight w:val="none"/>
          <w:u w:val="none"/>
          <w:lang w:val="en-US" w:eastAsia="zh-CN" w:bidi="ar-SA"/>
        </w:rPr>
        <w:t>十二</w:t>
      </w:r>
      <w:r>
        <w:rPr>
          <w:rFonts w:hint="eastAsia" w:ascii="宋体" w:hAnsi="宋体" w:eastAsia="宋体"/>
          <w:b/>
          <w:color w:val="auto"/>
          <w:sz w:val="21"/>
          <w:szCs w:val="21"/>
          <w:highlight w:val="none"/>
        </w:rPr>
        <w:t>条 争议的解决</w:t>
      </w:r>
    </w:p>
    <w:p w14:paraId="584AA9F9">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1、凡与本合同有关而引起的一切争议，甲乙双方应首先通过友好协商解决，如经协商后仍不能达成协议时，任何一方可以向法院提出诉讼。</w:t>
      </w:r>
    </w:p>
    <w:p w14:paraId="5E22A97A">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2、本合同发生的诉讼管辖地为东莞市有管辖权的法院。</w:t>
      </w:r>
    </w:p>
    <w:p w14:paraId="36C56861">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3、在进行法院审理期间，除提交法院审理的事项外，合同其他部分仍继续履行。</w:t>
      </w:r>
    </w:p>
    <w:p w14:paraId="6A000839">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宋体"/>
          <w:color w:val="auto"/>
          <w:sz w:val="21"/>
          <w:szCs w:val="21"/>
          <w:highlight w:val="none"/>
        </w:rPr>
        <w:t>4、本合同按照中华人民共和国的法律进行解释</w:t>
      </w:r>
      <w:r>
        <w:rPr>
          <w:rFonts w:hint="eastAsia" w:ascii="宋体" w:hAnsi="宋体" w:eastAsia="宋体" w:cs="仿宋"/>
          <w:color w:val="auto"/>
          <w:sz w:val="21"/>
          <w:szCs w:val="21"/>
          <w:highlight w:val="none"/>
          <w:shd w:val="clear" w:color="auto" w:fill="FFFFFF"/>
        </w:rPr>
        <w:t>。</w:t>
      </w:r>
    </w:p>
    <w:p w14:paraId="1218B1F5">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88" w:name="_Toc86481569"/>
      <w:r>
        <w:rPr>
          <w:rFonts w:hint="eastAsia" w:ascii="宋体" w:hAnsi="宋体" w:eastAsia="宋体"/>
          <w:b/>
          <w:color w:val="auto"/>
          <w:sz w:val="21"/>
          <w:szCs w:val="21"/>
          <w:highlight w:val="none"/>
        </w:rPr>
        <w:t>第</w:t>
      </w:r>
      <w:r>
        <w:rPr>
          <w:rFonts w:hint="eastAsia" w:ascii="宋体" w:hAnsi="宋体" w:eastAsia="宋体" w:cstheme="minorBidi"/>
          <w:b/>
          <w:bCs/>
          <w:color w:val="auto"/>
          <w:kern w:val="0"/>
          <w:sz w:val="21"/>
          <w:szCs w:val="21"/>
          <w:highlight w:val="none"/>
          <w:u w:val="none"/>
          <w:lang w:val="en-US" w:eastAsia="zh-CN" w:bidi="ar-SA"/>
        </w:rPr>
        <w:t>十三</w:t>
      </w:r>
      <w:r>
        <w:rPr>
          <w:rFonts w:hint="eastAsia" w:ascii="宋体" w:hAnsi="宋体" w:eastAsia="宋体"/>
          <w:b/>
          <w:color w:val="auto"/>
          <w:sz w:val="21"/>
          <w:szCs w:val="21"/>
          <w:highlight w:val="none"/>
          <w:lang w:val="en-US" w:eastAsia="zh-CN"/>
        </w:rPr>
        <w:t>条</w:t>
      </w:r>
      <w:r>
        <w:rPr>
          <w:rFonts w:hint="eastAsia" w:ascii="宋体" w:hAnsi="宋体" w:eastAsia="宋体"/>
          <w:b/>
          <w:color w:val="auto"/>
          <w:sz w:val="21"/>
          <w:szCs w:val="21"/>
          <w:highlight w:val="none"/>
        </w:rPr>
        <w:t xml:space="preserve"> 合同生效</w:t>
      </w:r>
      <w:bookmarkEnd w:id="88"/>
    </w:p>
    <w:p w14:paraId="1CFFA854">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1、本合同由双方法定代表人或委托代理人签字盖章后立即生效，具有同等法律效力，合同有效期随服务期结束而自然终止。</w:t>
      </w:r>
    </w:p>
    <w:p w14:paraId="27BA28E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2、本合同一式    份，其中甲方    份、乙方    份，采购代理机构 壹 份（须在合同签订之日起7个工作日内递交）。</w:t>
      </w:r>
    </w:p>
    <w:p w14:paraId="784987BD">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lang w:val="en-US" w:eastAsia="zh-CN"/>
        </w:rPr>
        <w:t>第</w:t>
      </w:r>
      <w:r>
        <w:rPr>
          <w:rFonts w:hint="eastAsia" w:ascii="宋体" w:hAnsi="宋体" w:eastAsia="宋体" w:cstheme="minorBidi"/>
          <w:b/>
          <w:bCs/>
          <w:color w:val="auto"/>
          <w:kern w:val="0"/>
          <w:sz w:val="21"/>
          <w:szCs w:val="21"/>
          <w:highlight w:val="none"/>
          <w:u w:val="none"/>
          <w:lang w:val="en-US" w:eastAsia="zh-CN" w:bidi="ar-SA"/>
        </w:rPr>
        <w:t>十四</w:t>
      </w:r>
      <w:r>
        <w:rPr>
          <w:rFonts w:hint="eastAsia" w:ascii="宋体" w:hAnsi="宋体" w:eastAsia="宋体"/>
          <w:b/>
          <w:color w:val="auto"/>
          <w:sz w:val="21"/>
          <w:szCs w:val="21"/>
          <w:highlight w:val="none"/>
        </w:rPr>
        <w:t>条 其它</w:t>
      </w:r>
      <w:bookmarkEnd w:id="87"/>
    </w:p>
    <w:p w14:paraId="57338D85">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1、本合同未尽事宜，双方可签订补充合同，补充合同与所有附件均为合同的有效组成部分，与本合同具有同等法律效力。</w:t>
      </w:r>
    </w:p>
    <w:p w14:paraId="36BC68A6">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2、在执行本合同的过程中，所有经甲乙双方签署确认的文件（包括会议纪要、补充协议、往来信函、合同附件等）即成为本合同的有效组成部分，其生效日期为双方签字盖章或确认之日期。</w:t>
      </w:r>
    </w:p>
    <w:p w14:paraId="2452BF6C">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本合同合计   页A4纸张，缺页之合同为无效合同。</w:t>
      </w:r>
    </w:p>
    <w:p w14:paraId="1C6F7939">
      <w:pPr>
        <w:pStyle w:val="2"/>
        <w:rPr>
          <w:rFonts w:hint="eastAsia"/>
          <w:color w:val="auto"/>
          <w:highlight w:val="none"/>
        </w:rPr>
      </w:pPr>
    </w:p>
    <w:p w14:paraId="512CCB75">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theme="minorBidi"/>
          <w:color w:val="auto"/>
          <w:kern w:val="0"/>
          <w:sz w:val="21"/>
          <w:szCs w:val="21"/>
          <w:highlight w:val="none"/>
          <w:u w:val="none"/>
          <w:lang w:val="en-US" w:eastAsia="zh-CN" w:bidi="ar-SA"/>
        </w:rPr>
      </w:pPr>
      <w:r>
        <w:rPr>
          <w:rFonts w:hint="eastAsia" w:ascii="宋体" w:hAnsi="宋体" w:eastAsia="宋体"/>
          <w:color w:val="auto"/>
          <w:sz w:val="21"/>
          <w:szCs w:val="21"/>
          <w:highlight w:val="none"/>
        </w:rPr>
        <w:t xml:space="preserve">甲方（盖章）：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乙方（盖章）：</w:t>
      </w:r>
      <w:r>
        <w:rPr>
          <w:rFonts w:hint="eastAsia" w:ascii="宋体" w:hAnsi="宋体" w:eastAsia="宋体"/>
          <w:color w:val="auto"/>
          <w:sz w:val="21"/>
          <w:szCs w:val="21"/>
          <w:highlight w:val="none"/>
          <w:lang w:val="en-US" w:eastAsia="zh-CN"/>
        </w:rPr>
        <w:t xml:space="preserve">             </w:t>
      </w:r>
    </w:p>
    <w:p w14:paraId="533C0B24">
      <w:pPr>
        <w:keepNext w:val="0"/>
        <w:keepLines w:val="0"/>
        <w:pageBreakBefore w:val="0"/>
        <w:widowControl/>
        <w:kinsoku/>
        <w:wordWrap/>
        <w:overflowPunct/>
        <w:topLinePunct w:val="0"/>
        <w:autoSpaceDE/>
        <w:autoSpaceDN/>
        <w:bidi w:val="0"/>
        <w:adjustRightInd/>
        <w:snapToGrid/>
        <w:spacing w:after="0" w:line="400" w:lineRule="exact"/>
        <w:textAlignment w:val="auto"/>
        <w:rPr>
          <w:rFonts w:hint="default" w:ascii="宋体" w:hAnsi="宋体" w:eastAsia="宋体"/>
          <w:color w:val="auto"/>
          <w:sz w:val="21"/>
          <w:szCs w:val="21"/>
          <w:highlight w:val="none"/>
          <w:lang w:val="en-US" w:eastAsia="zh-CN"/>
        </w:rPr>
      </w:pPr>
    </w:p>
    <w:p w14:paraId="5E2873EF">
      <w:pPr>
        <w:keepNext w:val="0"/>
        <w:keepLines w:val="0"/>
        <w:pageBreakBefore w:val="0"/>
        <w:widowControl/>
        <w:kinsoku/>
        <w:wordWrap/>
        <w:overflowPunct/>
        <w:topLinePunct w:val="0"/>
        <w:autoSpaceDE/>
        <w:autoSpaceDN/>
        <w:bidi w:val="0"/>
        <w:adjustRightInd/>
        <w:snapToGrid/>
        <w:spacing w:after="0" w:line="400" w:lineRule="exact"/>
        <w:textAlignment w:val="auto"/>
        <w:rPr>
          <w:rFonts w:hint="default" w:ascii="宋体" w:hAnsi="宋体" w:eastAsia="宋体" w:cstheme="minorBidi"/>
          <w:color w:val="auto"/>
          <w:kern w:val="0"/>
          <w:sz w:val="21"/>
          <w:szCs w:val="21"/>
          <w:highlight w:val="none"/>
          <w:u w:val="none"/>
          <w:lang w:val="en-US" w:eastAsia="zh-CN" w:bidi="ar-SA"/>
        </w:rPr>
      </w:pPr>
      <w:r>
        <w:rPr>
          <w:rFonts w:hint="eastAsia" w:ascii="宋体" w:hAnsi="宋体" w:eastAsia="宋体" w:cstheme="minorBidi"/>
          <w:color w:val="auto"/>
          <w:kern w:val="0"/>
          <w:sz w:val="21"/>
          <w:szCs w:val="21"/>
          <w:highlight w:val="none"/>
          <w:u w:val="none"/>
          <w:lang w:val="en-US" w:eastAsia="zh-CN" w:bidi="ar-SA"/>
        </w:rPr>
        <w:t>法定代表或委托代理人(签字)：                  法定代表(签字)：                                       地址：                                        地址：</w:t>
      </w:r>
    </w:p>
    <w:p w14:paraId="1B128DC6">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theme="minorBidi"/>
          <w:color w:val="auto"/>
          <w:kern w:val="0"/>
          <w:sz w:val="21"/>
          <w:szCs w:val="21"/>
          <w:highlight w:val="none"/>
          <w:u w:val="none"/>
          <w:lang w:val="en-US" w:eastAsia="zh-CN" w:bidi="ar-SA"/>
        </w:rPr>
      </w:pPr>
      <w:r>
        <w:rPr>
          <w:rFonts w:hint="eastAsia" w:ascii="宋体" w:hAnsi="宋体" w:eastAsia="宋体" w:cstheme="minorBidi"/>
          <w:color w:val="auto"/>
          <w:kern w:val="0"/>
          <w:sz w:val="21"/>
          <w:szCs w:val="21"/>
          <w:highlight w:val="none"/>
          <w:u w:val="none"/>
          <w:lang w:val="en-US" w:eastAsia="zh-CN" w:bidi="ar-SA"/>
        </w:rPr>
        <w:t xml:space="preserve">电话：                                        电话：                    </w:t>
      </w:r>
    </w:p>
    <w:p w14:paraId="4421BF7B">
      <w:pPr>
        <w:keepNext w:val="0"/>
        <w:keepLines w:val="0"/>
        <w:pageBreakBefore w:val="0"/>
        <w:widowControl/>
        <w:kinsoku/>
        <w:wordWrap/>
        <w:overflowPunct/>
        <w:topLinePunct w:val="0"/>
        <w:autoSpaceDE/>
        <w:autoSpaceDN/>
        <w:bidi w:val="0"/>
        <w:adjustRightInd/>
        <w:snapToGrid/>
        <w:spacing w:after="0" w:line="400" w:lineRule="exact"/>
        <w:textAlignment w:val="auto"/>
        <w:rPr>
          <w:rFonts w:hint="default" w:ascii="宋体" w:hAnsi="宋体" w:eastAsia="宋体" w:cstheme="minorBidi"/>
          <w:color w:val="auto"/>
          <w:kern w:val="0"/>
          <w:sz w:val="21"/>
          <w:szCs w:val="21"/>
          <w:highlight w:val="none"/>
          <w:u w:val="none"/>
          <w:lang w:val="en-US" w:eastAsia="zh-CN" w:bidi="ar-SA"/>
        </w:rPr>
      </w:pPr>
      <w:r>
        <w:rPr>
          <w:rFonts w:hint="eastAsia" w:ascii="宋体" w:hAnsi="宋体" w:eastAsia="宋体" w:cstheme="minorBidi"/>
          <w:color w:val="auto"/>
          <w:kern w:val="0"/>
          <w:sz w:val="21"/>
          <w:szCs w:val="21"/>
          <w:highlight w:val="none"/>
          <w:u w:val="none"/>
          <w:lang w:val="en-US" w:eastAsia="zh-CN" w:bidi="ar-SA"/>
        </w:rPr>
        <w:t>开户银行：</w:t>
      </w:r>
      <w:r>
        <w:rPr>
          <w:rFonts w:hint="eastAsia" w:ascii="宋体" w:hAnsi="宋体" w:eastAsia="宋体" w:cstheme="minorBidi"/>
          <w:color w:val="auto"/>
          <w:kern w:val="0"/>
          <w:sz w:val="21"/>
          <w:szCs w:val="21"/>
          <w:highlight w:val="none"/>
          <w:u w:val="none"/>
          <w:lang w:val="en-US" w:eastAsia="zh-CN" w:bidi="ar-SA"/>
        </w:rPr>
        <w:tab/>
      </w:r>
      <w:r>
        <w:rPr>
          <w:rFonts w:hint="eastAsia" w:ascii="宋体" w:hAnsi="宋体" w:eastAsia="宋体" w:cstheme="minorBidi"/>
          <w:color w:val="auto"/>
          <w:kern w:val="0"/>
          <w:sz w:val="21"/>
          <w:szCs w:val="21"/>
          <w:highlight w:val="none"/>
          <w:u w:val="none"/>
          <w:lang w:val="en-US" w:eastAsia="zh-CN" w:bidi="ar-SA"/>
        </w:rPr>
        <w:t xml:space="preserve">                                开户银行：                                              账号：                                        账号：                         </w:t>
      </w:r>
    </w:p>
    <w:p w14:paraId="1C668C07">
      <w:pPr>
        <w:keepNext w:val="0"/>
        <w:keepLines w:val="0"/>
        <w:pageBreakBefore w:val="0"/>
        <w:widowControl/>
        <w:kinsoku/>
        <w:wordWrap/>
        <w:overflowPunct/>
        <w:topLinePunct w:val="0"/>
        <w:autoSpaceDE/>
        <w:autoSpaceDN/>
        <w:bidi w:val="0"/>
        <w:adjustRightInd/>
        <w:snapToGrid/>
        <w:spacing w:after="0" w:line="400" w:lineRule="exact"/>
        <w:textAlignment w:val="auto"/>
        <w:rPr>
          <w:rFonts w:ascii="宋体" w:hAnsi="宋体" w:eastAsia="宋体"/>
          <w:color w:val="auto"/>
          <w:sz w:val="21"/>
          <w:szCs w:val="21"/>
          <w:highlight w:val="none"/>
        </w:rPr>
      </w:pPr>
      <w:r>
        <w:rPr>
          <w:rFonts w:hint="eastAsia" w:ascii="宋体" w:hAnsi="宋体" w:eastAsia="宋体" w:cstheme="minorBidi"/>
          <w:color w:val="auto"/>
          <w:kern w:val="0"/>
          <w:sz w:val="21"/>
          <w:szCs w:val="21"/>
          <w:highlight w:val="none"/>
          <w:u w:val="none"/>
          <w:lang w:val="en-US" w:eastAsia="zh-CN" w:bidi="ar-SA"/>
        </w:rPr>
        <w:t xml:space="preserve">签约时间：                                    签约时间：                 </w:t>
      </w:r>
    </w:p>
    <w:p w14:paraId="34EA91F2">
      <w:pPr>
        <w:keepNext w:val="0"/>
        <w:keepLines w:val="0"/>
        <w:pageBreakBefore w:val="0"/>
        <w:widowControl/>
        <w:kinsoku/>
        <w:wordWrap/>
        <w:overflowPunct/>
        <w:topLinePunct w:val="0"/>
        <w:autoSpaceDE/>
        <w:autoSpaceDN/>
        <w:bidi w:val="0"/>
        <w:adjustRightInd/>
        <w:snapToGrid/>
        <w:spacing w:after="0" w:line="400" w:lineRule="exact"/>
        <w:textAlignment w:val="auto"/>
        <w:rPr>
          <w:rFonts w:hint="default" w:ascii="宋体" w:hAnsi="宋体" w:eastAsia="宋体"/>
          <w:color w:val="auto"/>
          <w:sz w:val="21"/>
          <w:szCs w:val="21"/>
          <w:highlight w:val="none"/>
          <w:lang w:val="en-US" w:eastAsia="zh-CN"/>
        </w:rPr>
      </w:pPr>
    </w:p>
    <w:p w14:paraId="4C414329">
      <w:pPr>
        <w:pageBreakBefore w:val="0"/>
        <w:kinsoku/>
        <w:topLinePunct w:val="0"/>
        <w:autoSpaceDE/>
        <w:autoSpaceDN/>
        <w:bidi w:val="0"/>
        <w:spacing w:line="360" w:lineRule="auto"/>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此仅为合同书样本，中标人需根据实际情况和甲方签订相应的合同！</w:t>
      </w:r>
    </w:p>
    <w:p w14:paraId="4F3E7730">
      <w:pPr>
        <w:pageBreakBefore w:val="0"/>
        <w:kinsoku/>
        <w:topLinePunct w:val="0"/>
        <w:autoSpaceDE/>
        <w:autoSpaceDN/>
        <w:bidi w:val="0"/>
        <w:spacing w:line="360" w:lineRule="auto"/>
        <w:rPr>
          <w:rFonts w:hint="eastAsia"/>
          <w:color w:val="auto"/>
          <w:sz w:val="28"/>
          <w:szCs w:val="28"/>
          <w:highlight w:val="none"/>
        </w:rPr>
      </w:pPr>
      <w:r>
        <w:rPr>
          <w:rFonts w:hint="eastAsia" w:ascii="宋体" w:hAnsi="宋体" w:eastAsia="宋体"/>
          <w:b/>
          <w:color w:val="auto"/>
          <w:sz w:val="21"/>
          <w:szCs w:val="21"/>
          <w:highlight w:val="none"/>
        </w:rPr>
        <w:br w:type="page"/>
      </w:r>
    </w:p>
    <w:p w14:paraId="1E10252E">
      <w:pPr>
        <w:pStyle w:val="3"/>
        <w:pageBreakBefore w:val="0"/>
        <w:kinsoku/>
        <w:topLinePunct w:val="0"/>
        <w:autoSpaceDE/>
        <w:autoSpaceDN/>
        <w:bidi w:val="0"/>
        <w:spacing w:before="0" w:after="0" w:line="360" w:lineRule="auto"/>
        <w:rPr>
          <w:color w:val="auto"/>
          <w:sz w:val="28"/>
          <w:szCs w:val="28"/>
          <w:highlight w:val="none"/>
        </w:rPr>
      </w:pPr>
      <w:bookmarkStart w:id="89" w:name="_Toc15795"/>
      <w:r>
        <w:rPr>
          <w:rFonts w:hint="eastAsia"/>
          <w:color w:val="auto"/>
          <w:sz w:val="28"/>
          <w:szCs w:val="28"/>
          <w:highlight w:val="none"/>
        </w:rPr>
        <w:t>第六部分  附件－投标文件格式</w:t>
      </w:r>
      <w:bookmarkEnd w:id="89"/>
    </w:p>
    <w:p w14:paraId="75BBC964">
      <w:pPr>
        <w:pageBreakBefore w:val="0"/>
        <w:kinsoku/>
        <w:topLinePunct w:val="0"/>
        <w:autoSpaceDE/>
        <w:autoSpaceDN/>
        <w:bidi w:val="0"/>
        <w:spacing w:line="360" w:lineRule="auto"/>
        <w:rPr>
          <w:color w:val="auto"/>
          <w:highlight w:val="none"/>
        </w:rPr>
      </w:pPr>
    </w:p>
    <w:p w14:paraId="45D1466D">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90" w:name="_Toc6425"/>
      <w:r>
        <w:rPr>
          <w:rFonts w:hint="eastAsia" w:ascii="宋体" w:hAnsi="宋体" w:eastAsia="宋体"/>
          <w:color w:val="auto"/>
          <w:sz w:val="21"/>
          <w:szCs w:val="21"/>
          <w:highlight w:val="none"/>
        </w:rPr>
        <w:t>附件1.投标文件目录</w:t>
      </w:r>
      <w:bookmarkEnd w:id="90"/>
    </w:p>
    <w:p w14:paraId="7AC28CD5">
      <w:pPr>
        <w:pageBreakBefore w:val="0"/>
        <w:kinsoku/>
        <w:topLinePunct w:val="0"/>
        <w:autoSpaceDE/>
        <w:autoSpaceDN/>
        <w:bidi w:val="0"/>
        <w:spacing w:line="360" w:lineRule="auto"/>
        <w:jc w:val="center"/>
        <w:rPr>
          <w:rFonts w:ascii="黑体" w:eastAsia="黑体"/>
          <w:color w:val="auto"/>
          <w:sz w:val="32"/>
          <w:szCs w:val="32"/>
          <w:highlight w:val="none"/>
        </w:rPr>
      </w:pPr>
    </w:p>
    <w:p w14:paraId="2EB67FF8">
      <w:pPr>
        <w:pageBreakBefore w:val="0"/>
        <w:kinsoku/>
        <w:topLinePunct w:val="0"/>
        <w:autoSpaceDE/>
        <w:autoSpaceDN/>
        <w:bidi w:val="0"/>
        <w:spacing w:line="360" w:lineRule="auto"/>
        <w:jc w:val="center"/>
        <w:rPr>
          <w:rFonts w:ascii="黑体" w:eastAsia="黑体"/>
          <w:color w:val="auto"/>
          <w:sz w:val="32"/>
          <w:szCs w:val="32"/>
          <w:highlight w:val="none"/>
        </w:rPr>
      </w:pPr>
      <w:r>
        <w:rPr>
          <w:rFonts w:hint="eastAsia" w:ascii="黑体" w:eastAsia="黑体"/>
          <w:color w:val="auto"/>
          <w:sz w:val="32"/>
          <w:szCs w:val="32"/>
          <w:highlight w:val="none"/>
        </w:rPr>
        <w:t>目录</w:t>
      </w:r>
    </w:p>
    <w:p w14:paraId="27CA1D7A">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格式自理。</w:t>
      </w:r>
    </w:p>
    <w:p w14:paraId="134BDE85">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p>
    <w:p w14:paraId="6D45398C">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p>
    <w:p w14:paraId="39D4DD7E">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14:paraId="0BA707C4">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1、投标人制作的投标文件应当具备目录。</w:t>
      </w:r>
      <w:r>
        <w:rPr>
          <w:rFonts w:ascii="宋体" w:hAnsi="宋体" w:eastAsia="宋体"/>
          <w:color w:val="auto"/>
          <w:sz w:val="21"/>
          <w:szCs w:val="21"/>
          <w:highlight w:val="none"/>
        </w:rPr>
        <w:br w:type="page"/>
      </w:r>
    </w:p>
    <w:p w14:paraId="4D8EC832">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91" w:name="_Toc10771"/>
      <w:r>
        <w:rPr>
          <w:rFonts w:hint="eastAsia" w:ascii="宋体" w:hAnsi="宋体" w:eastAsia="宋体"/>
          <w:color w:val="auto"/>
          <w:sz w:val="21"/>
          <w:szCs w:val="21"/>
          <w:highlight w:val="none"/>
        </w:rPr>
        <w:t>附件1-1 评分标准索引表</w:t>
      </w:r>
      <w:bookmarkEnd w:id="91"/>
    </w:p>
    <w:p w14:paraId="5FD7EF87">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p>
    <w:p w14:paraId="2A4E1C0F">
      <w:pPr>
        <w:pageBreakBefore w:val="0"/>
        <w:kinsoku/>
        <w:topLinePunct w:val="0"/>
        <w:autoSpaceDE/>
        <w:autoSpaceDN/>
        <w:bidi w:val="0"/>
        <w:spacing w:line="360" w:lineRule="auto"/>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704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4D1F5C21">
            <w:pPr>
              <w:pageBreakBefore w:val="0"/>
              <w:kinsoku/>
              <w:topLinePunct w:val="0"/>
              <w:autoSpaceDE/>
              <w:autoSpaceDN/>
              <w:bidi w:val="0"/>
              <w:spacing w:after="0" w:line="360" w:lineRule="auto"/>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1704" w:type="dxa"/>
            <w:vAlign w:val="center"/>
          </w:tcPr>
          <w:p w14:paraId="11EC0B1D">
            <w:pPr>
              <w:pageBreakBefore w:val="0"/>
              <w:kinsoku/>
              <w:topLinePunct w:val="0"/>
              <w:autoSpaceDE/>
              <w:autoSpaceDN/>
              <w:bidi w:val="0"/>
              <w:spacing w:after="0" w:line="360" w:lineRule="auto"/>
              <w:jc w:val="center"/>
              <w:rPr>
                <w:rFonts w:ascii="宋体" w:hAnsi="宋体" w:eastAsia="宋体" w:cs="宋体"/>
                <w:color w:val="auto"/>
                <w:highlight w:val="none"/>
              </w:rPr>
            </w:pPr>
            <w:r>
              <w:rPr>
                <w:rFonts w:hint="eastAsia" w:ascii="宋体" w:hAnsi="宋体" w:eastAsia="宋体" w:cs="宋体"/>
                <w:color w:val="auto"/>
                <w:highlight w:val="none"/>
              </w:rPr>
              <w:t>评审项目</w:t>
            </w:r>
          </w:p>
        </w:tc>
        <w:tc>
          <w:tcPr>
            <w:tcW w:w="1704" w:type="dxa"/>
            <w:vAlign w:val="center"/>
          </w:tcPr>
          <w:p w14:paraId="12A9471F">
            <w:pPr>
              <w:pageBreakBefore w:val="0"/>
              <w:kinsoku/>
              <w:topLinePunct w:val="0"/>
              <w:autoSpaceDE/>
              <w:autoSpaceDN/>
              <w:bidi w:val="0"/>
              <w:spacing w:after="0" w:line="360" w:lineRule="auto"/>
              <w:jc w:val="center"/>
              <w:rPr>
                <w:rFonts w:ascii="宋体" w:hAnsi="宋体" w:eastAsia="宋体" w:cs="宋体"/>
                <w:color w:val="auto"/>
                <w:highlight w:val="none"/>
              </w:rPr>
            </w:pPr>
            <w:r>
              <w:rPr>
                <w:rFonts w:hint="eastAsia" w:ascii="宋体" w:hAnsi="宋体" w:eastAsia="宋体" w:cs="宋体"/>
                <w:color w:val="auto"/>
                <w:highlight w:val="none"/>
              </w:rPr>
              <w:t>评分细则</w:t>
            </w:r>
          </w:p>
        </w:tc>
        <w:tc>
          <w:tcPr>
            <w:tcW w:w="1705" w:type="dxa"/>
            <w:vAlign w:val="center"/>
          </w:tcPr>
          <w:p w14:paraId="389E8A7D">
            <w:pPr>
              <w:pageBreakBefore w:val="0"/>
              <w:kinsoku/>
              <w:topLinePunct w:val="0"/>
              <w:autoSpaceDE/>
              <w:autoSpaceDN/>
              <w:bidi w:val="0"/>
              <w:spacing w:after="0" w:line="360" w:lineRule="auto"/>
              <w:jc w:val="center"/>
              <w:rPr>
                <w:rFonts w:ascii="宋体" w:hAnsi="宋体" w:eastAsia="宋体" w:cs="宋体"/>
                <w:color w:val="auto"/>
                <w:highlight w:val="none"/>
              </w:rPr>
            </w:pPr>
            <w:r>
              <w:rPr>
                <w:rFonts w:hint="eastAsia" w:ascii="宋体" w:hAnsi="宋体" w:eastAsia="宋体" w:cs="宋体"/>
                <w:color w:val="auto"/>
                <w:highlight w:val="none"/>
              </w:rPr>
              <w:t>分值</w:t>
            </w:r>
          </w:p>
        </w:tc>
        <w:tc>
          <w:tcPr>
            <w:tcW w:w="1705" w:type="dxa"/>
            <w:vAlign w:val="center"/>
          </w:tcPr>
          <w:p w14:paraId="0B088A84">
            <w:pPr>
              <w:pageBreakBefore w:val="0"/>
              <w:kinsoku/>
              <w:topLinePunct w:val="0"/>
              <w:autoSpaceDE/>
              <w:autoSpaceDN/>
              <w:bidi w:val="0"/>
              <w:spacing w:after="0" w:line="360" w:lineRule="auto"/>
              <w:jc w:val="center"/>
              <w:rPr>
                <w:rFonts w:ascii="宋体" w:hAnsi="宋体" w:eastAsia="宋体" w:cs="宋体"/>
                <w:color w:val="auto"/>
                <w:highlight w:val="none"/>
              </w:rPr>
            </w:pPr>
            <w:r>
              <w:rPr>
                <w:rFonts w:hint="eastAsia" w:ascii="宋体" w:hAnsi="宋体" w:eastAsia="宋体" w:cs="宋体"/>
                <w:color w:val="auto"/>
                <w:highlight w:val="none"/>
              </w:rPr>
              <w:t>页码范围</w:t>
            </w:r>
          </w:p>
        </w:tc>
      </w:tr>
      <w:tr w14:paraId="45C6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08F48D9D">
            <w:pPr>
              <w:pageBreakBefore w:val="0"/>
              <w:kinsoku/>
              <w:topLinePunct w:val="0"/>
              <w:autoSpaceDE/>
              <w:autoSpaceDN/>
              <w:bidi w:val="0"/>
              <w:spacing w:after="0" w:line="360" w:lineRule="auto"/>
              <w:rPr>
                <w:rFonts w:ascii="宋体" w:hAnsi="宋体" w:eastAsia="宋体" w:cs="宋体"/>
                <w:color w:val="auto"/>
                <w:highlight w:val="none"/>
              </w:rPr>
            </w:pPr>
            <w:r>
              <w:rPr>
                <w:rFonts w:hint="eastAsia" w:ascii="宋体" w:hAnsi="宋体" w:eastAsia="宋体" w:cs="宋体"/>
                <w:color w:val="auto"/>
                <w:highlight w:val="none"/>
              </w:rPr>
              <w:t>商务评审</w:t>
            </w:r>
          </w:p>
        </w:tc>
      </w:tr>
      <w:tr w14:paraId="067E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81C18BA">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088E1368">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50F3F9F4">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569059D4">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7788D2F2">
            <w:pPr>
              <w:pageBreakBefore w:val="0"/>
              <w:kinsoku/>
              <w:topLinePunct w:val="0"/>
              <w:autoSpaceDE/>
              <w:autoSpaceDN/>
              <w:bidi w:val="0"/>
              <w:spacing w:after="0" w:line="360" w:lineRule="auto"/>
              <w:jc w:val="center"/>
              <w:rPr>
                <w:rFonts w:ascii="宋体" w:hAnsi="宋体" w:eastAsia="宋体" w:cs="宋体"/>
                <w:color w:val="auto"/>
                <w:highlight w:val="none"/>
              </w:rPr>
            </w:pPr>
          </w:p>
        </w:tc>
      </w:tr>
      <w:tr w14:paraId="1BCB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658DBFE">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67948714">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10CD4710">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38CECC8F">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5E39A6E0">
            <w:pPr>
              <w:pageBreakBefore w:val="0"/>
              <w:kinsoku/>
              <w:topLinePunct w:val="0"/>
              <w:autoSpaceDE/>
              <w:autoSpaceDN/>
              <w:bidi w:val="0"/>
              <w:spacing w:after="0" w:line="360" w:lineRule="auto"/>
              <w:jc w:val="center"/>
              <w:rPr>
                <w:rFonts w:ascii="宋体" w:hAnsi="宋体" w:eastAsia="宋体" w:cs="宋体"/>
                <w:color w:val="auto"/>
                <w:highlight w:val="none"/>
              </w:rPr>
            </w:pPr>
          </w:p>
        </w:tc>
      </w:tr>
      <w:tr w14:paraId="3BFE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43EE8BE">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31E4DC7E">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0C514B98">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729913A2">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0BE69776">
            <w:pPr>
              <w:pageBreakBefore w:val="0"/>
              <w:kinsoku/>
              <w:topLinePunct w:val="0"/>
              <w:autoSpaceDE/>
              <w:autoSpaceDN/>
              <w:bidi w:val="0"/>
              <w:spacing w:after="0" w:line="360" w:lineRule="auto"/>
              <w:jc w:val="center"/>
              <w:rPr>
                <w:rFonts w:ascii="宋体" w:hAnsi="宋体" w:eastAsia="宋体" w:cs="宋体"/>
                <w:color w:val="auto"/>
                <w:highlight w:val="none"/>
              </w:rPr>
            </w:pPr>
          </w:p>
        </w:tc>
      </w:tr>
      <w:tr w14:paraId="3E26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1D6E669E">
            <w:pPr>
              <w:pageBreakBefore w:val="0"/>
              <w:kinsoku/>
              <w:topLinePunct w:val="0"/>
              <w:autoSpaceDE/>
              <w:autoSpaceDN/>
              <w:bidi w:val="0"/>
              <w:spacing w:after="0" w:line="360" w:lineRule="auto"/>
              <w:rPr>
                <w:rFonts w:ascii="宋体" w:hAnsi="宋体" w:eastAsia="宋体" w:cs="宋体"/>
                <w:color w:val="auto"/>
                <w:highlight w:val="none"/>
              </w:rPr>
            </w:pPr>
            <w:r>
              <w:rPr>
                <w:rFonts w:hint="eastAsia" w:ascii="宋体" w:hAnsi="宋体" w:eastAsia="宋体" w:cs="宋体"/>
                <w:color w:val="auto"/>
                <w:highlight w:val="none"/>
              </w:rPr>
              <w:t>技术评审</w:t>
            </w:r>
          </w:p>
        </w:tc>
      </w:tr>
      <w:tr w14:paraId="1D42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602C266">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576A319F">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15215C69">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3AEB630E">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1FAB5D7E">
            <w:pPr>
              <w:pageBreakBefore w:val="0"/>
              <w:kinsoku/>
              <w:topLinePunct w:val="0"/>
              <w:autoSpaceDE/>
              <w:autoSpaceDN/>
              <w:bidi w:val="0"/>
              <w:spacing w:after="0" w:line="360" w:lineRule="auto"/>
              <w:jc w:val="center"/>
              <w:rPr>
                <w:rFonts w:ascii="宋体" w:hAnsi="宋体" w:eastAsia="宋体" w:cs="宋体"/>
                <w:color w:val="auto"/>
                <w:highlight w:val="none"/>
              </w:rPr>
            </w:pPr>
          </w:p>
        </w:tc>
      </w:tr>
      <w:tr w14:paraId="5AFF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29CA308">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5958F334">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6068CC45">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72556A53">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5EF60F6C">
            <w:pPr>
              <w:pageBreakBefore w:val="0"/>
              <w:kinsoku/>
              <w:topLinePunct w:val="0"/>
              <w:autoSpaceDE/>
              <w:autoSpaceDN/>
              <w:bidi w:val="0"/>
              <w:spacing w:after="0" w:line="360" w:lineRule="auto"/>
              <w:jc w:val="center"/>
              <w:rPr>
                <w:rFonts w:ascii="宋体" w:hAnsi="宋体" w:eastAsia="宋体" w:cs="宋体"/>
                <w:color w:val="auto"/>
                <w:highlight w:val="none"/>
              </w:rPr>
            </w:pPr>
          </w:p>
        </w:tc>
      </w:tr>
      <w:tr w14:paraId="1135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5B3C304">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53981B95">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4" w:type="dxa"/>
            <w:vAlign w:val="center"/>
          </w:tcPr>
          <w:p w14:paraId="632AAE03">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46C96687">
            <w:pPr>
              <w:pageBreakBefore w:val="0"/>
              <w:kinsoku/>
              <w:topLinePunct w:val="0"/>
              <w:autoSpaceDE/>
              <w:autoSpaceDN/>
              <w:bidi w:val="0"/>
              <w:spacing w:after="0" w:line="360" w:lineRule="auto"/>
              <w:jc w:val="center"/>
              <w:rPr>
                <w:rFonts w:ascii="宋体" w:hAnsi="宋体" w:eastAsia="宋体" w:cs="宋体"/>
                <w:color w:val="auto"/>
                <w:highlight w:val="none"/>
              </w:rPr>
            </w:pPr>
          </w:p>
        </w:tc>
        <w:tc>
          <w:tcPr>
            <w:tcW w:w="1705" w:type="dxa"/>
            <w:vAlign w:val="center"/>
          </w:tcPr>
          <w:p w14:paraId="59410722">
            <w:pPr>
              <w:pageBreakBefore w:val="0"/>
              <w:kinsoku/>
              <w:topLinePunct w:val="0"/>
              <w:autoSpaceDE/>
              <w:autoSpaceDN/>
              <w:bidi w:val="0"/>
              <w:spacing w:after="0" w:line="360" w:lineRule="auto"/>
              <w:jc w:val="center"/>
              <w:rPr>
                <w:rFonts w:ascii="宋体" w:hAnsi="宋体" w:eastAsia="宋体" w:cs="宋体"/>
                <w:color w:val="auto"/>
                <w:highlight w:val="none"/>
              </w:rPr>
            </w:pPr>
          </w:p>
        </w:tc>
      </w:tr>
    </w:tbl>
    <w:p w14:paraId="75FA64A0">
      <w:pPr>
        <w:pageBreakBefore w:val="0"/>
        <w:kinsoku/>
        <w:topLinePunct w:val="0"/>
        <w:autoSpaceDE/>
        <w:autoSpaceDN/>
        <w:bidi w:val="0"/>
        <w:spacing w:line="360" w:lineRule="auto"/>
        <w:rPr>
          <w:rFonts w:ascii="宋体" w:hAnsi="宋体" w:eastAsia="宋体"/>
          <w:color w:val="auto"/>
          <w:sz w:val="21"/>
          <w:szCs w:val="21"/>
          <w:highlight w:val="none"/>
        </w:rPr>
      </w:pPr>
    </w:p>
    <w:p w14:paraId="19B59714">
      <w:pPr>
        <w:pageBreakBefore w:val="0"/>
        <w:kinsoku/>
        <w:topLinePunct w:val="0"/>
        <w:autoSpaceDE/>
        <w:autoSpaceDN/>
        <w:bidi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14:paraId="77F68B70">
      <w:pPr>
        <w:pageBreakBefore w:val="0"/>
        <w:numPr>
          <w:ilvl w:val="0"/>
          <w:numId w:val="7"/>
        </w:numPr>
        <w:kinsoku/>
        <w:topLinePunct w:val="0"/>
        <w:autoSpaceDE/>
        <w:autoSpaceDN/>
        <w:bidi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该表格为参考格式，投标人可按实际情况自行制订评分标准索引表。</w:t>
      </w:r>
    </w:p>
    <w:p w14:paraId="5F339F56">
      <w:pPr>
        <w:pStyle w:val="7"/>
        <w:pageBreakBefore w:val="0"/>
        <w:kinsoku/>
        <w:topLinePunct w:val="0"/>
        <w:autoSpaceDE/>
        <w:autoSpaceDN/>
        <w:bidi w:val="0"/>
        <w:spacing w:before="0" w:line="360" w:lineRule="auto"/>
        <w:ind w:left="0"/>
        <w:rPr>
          <w:color w:val="auto"/>
          <w:highlight w:val="none"/>
        </w:rPr>
      </w:pPr>
    </w:p>
    <w:p w14:paraId="0B51193F">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p>
    <w:p w14:paraId="596AB27D">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p>
    <w:p w14:paraId="0F5C23F4">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p>
    <w:p w14:paraId="67379D44">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p>
    <w:p w14:paraId="424D9A55">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p>
    <w:p w14:paraId="4E0491E8">
      <w:pPr>
        <w:pageBreakBefore w:val="0"/>
        <w:kinsoku/>
        <w:topLinePunct w:val="0"/>
        <w:autoSpaceDE/>
        <w:autoSpaceDN/>
        <w:bidi w:val="0"/>
        <w:adjustRightInd/>
        <w:snapToGrid/>
        <w:spacing w:line="360" w:lineRule="auto"/>
        <w:rPr>
          <w:rFonts w:ascii="宋体" w:hAnsi="宋体" w:eastAsia="宋体"/>
          <w:color w:val="auto"/>
          <w:sz w:val="21"/>
          <w:szCs w:val="21"/>
          <w:highlight w:val="none"/>
        </w:rPr>
      </w:pPr>
      <w:r>
        <w:rPr>
          <w:rFonts w:ascii="宋体" w:hAnsi="宋体" w:eastAsia="宋体"/>
          <w:color w:val="auto"/>
          <w:sz w:val="21"/>
          <w:szCs w:val="21"/>
          <w:highlight w:val="none"/>
        </w:rPr>
        <w:br w:type="page"/>
      </w:r>
    </w:p>
    <w:p w14:paraId="782DEFFD">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92" w:name="_Toc1045"/>
      <w:r>
        <w:rPr>
          <w:rFonts w:hint="eastAsia" w:ascii="宋体" w:hAnsi="宋体" w:eastAsia="宋体"/>
          <w:color w:val="auto"/>
          <w:sz w:val="21"/>
          <w:szCs w:val="21"/>
          <w:highlight w:val="none"/>
        </w:rPr>
        <w:t>附件2.投标书格式</w:t>
      </w:r>
      <w:bookmarkEnd w:id="92"/>
    </w:p>
    <w:p w14:paraId="467EC0AF">
      <w:pPr>
        <w:jc w:val="center"/>
        <w:rPr>
          <w:rFonts w:ascii="宋体" w:hAnsi="宋体" w:eastAsia="宋体"/>
          <w:color w:val="auto"/>
          <w:sz w:val="21"/>
          <w:szCs w:val="21"/>
          <w:highlight w:val="none"/>
        </w:rPr>
      </w:pPr>
      <w:bookmarkStart w:id="93" w:name="_Toc11248"/>
      <w:r>
        <w:rPr>
          <w:rFonts w:hint="eastAsia" w:ascii="黑体" w:eastAsia="黑体"/>
          <w:color w:val="auto"/>
          <w:sz w:val="32"/>
          <w:szCs w:val="32"/>
          <w:highlight w:val="none"/>
        </w:rPr>
        <w:t>投标书</w:t>
      </w:r>
    </w:p>
    <w:p w14:paraId="6C09D6F5">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致：三方诚信招标有限公司东莞分公司：</w:t>
      </w:r>
    </w:p>
    <w:p w14:paraId="1E2B9004">
      <w:pPr>
        <w:spacing w:after="0" w:line="360" w:lineRule="auto"/>
        <w:rPr>
          <w:rFonts w:ascii="宋体" w:hAnsi="宋体" w:eastAsia="宋体"/>
          <w:color w:val="auto"/>
          <w:sz w:val="21"/>
          <w:szCs w:val="21"/>
          <w:highlight w:val="none"/>
        </w:rPr>
      </w:pPr>
    </w:p>
    <w:p w14:paraId="27B231A2">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根据贵方为</w:t>
      </w:r>
      <w:r>
        <w:rPr>
          <w:rFonts w:hint="eastAsia" w:ascii="宋体" w:hAnsi="宋体" w:eastAsia="宋体"/>
          <w:color w:val="auto"/>
          <w:sz w:val="21"/>
          <w:szCs w:val="21"/>
          <w:highlight w:val="none"/>
          <w:u w:val="single"/>
        </w:rPr>
        <w:t>（项目名称）（采购项目编号）</w:t>
      </w:r>
      <w:r>
        <w:rPr>
          <w:rFonts w:hint="eastAsia" w:ascii="宋体" w:hAnsi="宋体" w:eastAsia="宋体"/>
          <w:color w:val="auto"/>
          <w:sz w:val="21"/>
          <w:szCs w:val="21"/>
          <w:highlight w:val="none"/>
        </w:rPr>
        <w:t>项目招标公告/招标邀请，签字代表</w:t>
      </w:r>
      <w:r>
        <w:rPr>
          <w:rFonts w:hint="eastAsia" w:ascii="宋体" w:hAnsi="宋体" w:eastAsia="宋体"/>
          <w:color w:val="auto"/>
          <w:sz w:val="21"/>
          <w:szCs w:val="21"/>
          <w:highlight w:val="none"/>
          <w:u w:val="single"/>
        </w:rPr>
        <w:t>（姓名、职务）</w:t>
      </w:r>
      <w:r>
        <w:rPr>
          <w:rFonts w:hint="eastAsia" w:ascii="宋体" w:hAnsi="宋体" w:eastAsia="宋体"/>
          <w:color w:val="auto"/>
          <w:sz w:val="21"/>
          <w:szCs w:val="21"/>
          <w:highlight w:val="none"/>
        </w:rPr>
        <w:t>经正式授权并代表投标人</w:t>
      </w:r>
      <w:r>
        <w:rPr>
          <w:rFonts w:hint="eastAsia" w:ascii="宋体" w:hAnsi="宋体" w:eastAsia="宋体"/>
          <w:color w:val="auto"/>
          <w:sz w:val="21"/>
          <w:szCs w:val="21"/>
          <w:highlight w:val="none"/>
          <w:u w:val="single"/>
        </w:rPr>
        <w:t>（投标人名称、地址）</w:t>
      </w:r>
      <w:r>
        <w:rPr>
          <w:rFonts w:hint="eastAsia" w:ascii="宋体" w:hAnsi="宋体" w:eastAsia="宋体"/>
          <w:color w:val="auto"/>
          <w:sz w:val="21"/>
          <w:szCs w:val="21"/>
          <w:highlight w:val="none"/>
        </w:rPr>
        <w:t>提交投标文件及“开标文件”：</w:t>
      </w:r>
    </w:p>
    <w:p w14:paraId="0BAD6B18">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在此，签字代表宣布同意如下： </w:t>
      </w:r>
    </w:p>
    <w:p w14:paraId="33A1CD02">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我方将按招标文件的规定履行合同责任和义务。 </w:t>
      </w:r>
    </w:p>
    <w:p w14:paraId="28078E64">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r>
        <w:rPr>
          <w:rFonts w:hint="eastAsia" w:ascii="宋体" w:hAnsi="宋体" w:eastAsia="宋体"/>
          <w:color w:val="auto"/>
          <w:sz w:val="21"/>
          <w:szCs w:val="21"/>
          <w:highlight w:val="none"/>
        </w:rPr>
        <w:t xml:space="preserve"> </w:t>
      </w:r>
    </w:p>
    <w:p w14:paraId="10B5B6F7">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本投标有效期为自开标日起</w:t>
      </w:r>
      <w:r>
        <w:rPr>
          <w:rFonts w:hint="eastAsia" w:ascii="宋体" w:hAnsi="宋体" w:eastAsia="宋体"/>
          <w:color w:val="auto"/>
          <w:sz w:val="21"/>
          <w:szCs w:val="21"/>
          <w:highlight w:val="none"/>
          <w:u w:val="single"/>
        </w:rPr>
        <w:t>90</w:t>
      </w:r>
      <w:r>
        <w:rPr>
          <w:rFonts w:hint="eastAsia" w:ascii="宋体" w:hAnsi="宋体" w:eastAsia="宋体"/>
          <w:color w:val="auto"/>
          <w:sz w:val="21"/>
          <w:szCs w:val="21"/>
          <w:highlight w:val="none"/>
        </w:rPr>
        <w:t xml:space="preserve">个日历日。 </w:t>
      </w:r>
    </w:p>
    <w:p w14:paraId="708A30FF">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我方保证遵守投标人须知中关于没收投标保证金的规定。</w:t>
      </w:r>
    </w:p>
    <w:p w14:paraId="314EE6C5">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我方承诺，与买方聘请的为此项目提供咨询服务的公司及任何附属机构均无关联，我方不是买方的附属机构。 </w:t>
      </w:r>
    </w:p>
    <w:p w14:paraId="3A2DE938">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承诺，我方具备《中华人民共和国政府采购法》第二十二条资格条件，已清楚招标文件所有要求及有关规定；并承诺参加本次政府采购活动中，如有违法、违规、弄虚作假行为，所造成的损失、不良后果及法律责任，一律由我方承担；</w:t>
      </w:r>
    </w:p>
    <w:p w14:paraId="4534C174">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我方同意提供按照贵方可能要求的与其投标有关的一切数据或资料。</w:t>
      </w:r>
    </w:p>
    <w:p w14:paraId="430B19A5">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与本投标有关的一切正式信函请寄：</w:t>
      </w:r>
    </w:p>
    <w:p w14:paraId="671A5026">
      <w:pPr>
        <w:spacing w:after="0" w:line="360" w:lineRule="auto"/>
        <w:rPr>
          <w:rFonts w:ascii="宋体" w:hAnsi="宋体" w:eastAsia="宋体"/>
          <w:color w:val="auto"/>
          <w:sz w:val="21"/>
          <w:szCs w:val="21"/>
          <w:highlight w:val="none"/>
        </w:rPr>
      </w:pPr>
    </w:p>
    <w:p w14:paraId="40FA75D3">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地址：　　　　　　　　　　　　　　　　　　　传真：</w:t>
      </w:r>
    </w:p>
    <w:p w14:paraId="71FBE7EF">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电话/移动电话：　　　　　　　　　　　　　　　电子函件：</w:t>
      </w:r>
    </w:p>
    <w:p w14:paraId="26E91406">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投标人代表签字： </w:t>
      </w:r>
    </w:p>
    <w:p w14:paraId="64B03004">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投标人名称全称（</w:t>
      </w:r>
      <w:r>
        <w:rPr>
          <w:rFonts w:hint="eastAsia" w:ascii="宋体" w:hAnsi="宋体" w:eastAsia="宋体"/>
          <w:color w:val="auto"/>
          <w:sz w:val="21"/>
          <w:szCs w:val="21"/>
          <w:highlight w:val="none"/>
          <w:lang w:eastAsia="zh-CN"/>
        </w:rPr>
        <w:t>加</w:t>
      </w:r>
      <w:r>
        <w:rPr>
          <w:rFonts w:hint="eastAsia" w:ascii="宋体" w:hAnsi="宋体" w:eastAsia="宋体"/>
          <w:color w:val="auto"/>
          <w:sz w:val="21"/>
          <w:szCs w:val="21"/>
          <w:highlight w:val="none"/>
        </w:rPr>
        <w:t>盖</w:t>
      </w:r>
      <w:r>
        <w:rPr>
          <w:rFonts w:hint="eastAsia" w:ascii="宋体" w:hAnsi="宋体" w:eastAsia="宋体"/>
          <w:color w:val="auto"/>
          <w:sz w:val="21"/>
          <w:szCs w:val="21"/>
          <w:highlight w:val="none"/>
          <w:lang w:eastAsia="zh-CN"/>
        </w:rPr>
        <w:t>公</w:t>
      </w:r>
      <w:r>
        <w:rPr>
          <w:rFonts w:hint="eastAsia" w:ascii="宋体" w:hAnsi="宋体" w:eastAsia="宋体"/>
          <w:color w:val="auto"/>
          <w:sz w:val="21"/>
          <w:szCs w:val="21"/>
          <w:highlight w:val="none"/>
        </w:rPr>
        <w:t xml:space="preserve">章）：  </w:t>
      </w:r>
    </w:p>
    <w:p w14:paraId="6C4E8DDF">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投标人开户银行（全称）：</w:t>
      </w:r>
    </w:p>
    <w:p w14:paraId="7AE1D10C">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投标人银行</w:t>
      </w:r>
      <w:r>
        <w:rPr>
          <w:rFonts w:hint="eastAsia" w:ascii="宋体" w:hAnsi="宋体" w:eastAsia="宋体"/>
          <w:color w:val="auto"/>
          <w:sz w:val="21"/>
          <w:szCs w:val="21"/>
          <w:highlight w:val="none"/>
          <w:lang w:eastAsia="zh-CN"/>
        </w:rPr>
        <w:t>账号</w:t>
      </w:r>
      <w:r>
        <w:rPr>
          <w:rFonts w:hint="eastAsia" w:ascii="宋体" w:hAnsi="宋体" w:eastAsia="宋体"/>
          <w:color w:val="auto"/>
          <w:sz w:val="21"/>
          <w:szCs w:val="21"/>
          <w:highlight w:val="none"/>
        </w:rPr>
        <w:t>：</w:t>
      </w:r>
    </w:p>
    <w:p w14:paraId="71EE3CC1">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14:paraId="5435D476">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附件3.开标一览表格式</w:t>
      </w:r>
      <w:bookmarkEnd w:id="93"/>
    </w:p>
    <w:p w14:paraId="2B6C9272">
      <w:pPr>
        <w:pageBreakBefore w:val="0"/>
        <w:kinsoku/>
        <w:topLinePunct w:val="0"/>
        <w:autoSpaceDE/>
        <w:autoSpaceDN/>
        <w:bidi w:val="0"/>
        <w:spacing w:line="360" w:lineRule="auto"/>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14:paraId="6BC17A5D">
      <w:pPr>
        <w:pageBreakBefore w:val="0"/>
        <w:kinsoku/>
        <w:topLinePunct w:val="0"/>
        <w:autoSpaceDE/>
        <w:autoSpaceDN/>
        <w:bidi w:val="0"/>
        <w:spacing w:line="360" w:lineRule="auto"/>
        <w:rPr>
          <w:color w:val="auto"/>
          <w:highlight w:val="none"/>
        </w:rPr>
      </w:pPr>
    </w:p>
    <w:p w14:paraId="23A23BDC">
      <w:pPr>
        <w:pageBreakBefore w:val="0"/>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投标人名称：</w:t>
      </w:r>
    </w:p>
    <w:p w14:paraId="4959C925">
      <w:pPr>
        <w:pageBreakBefore w:val="0"/>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采购项目编号：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2901"/>
        <w:gridCol w:w="3067"/>
      </w:tblGrid>
      <w:tr w14:paraId="2A4C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497" w:type="pct"/>
            <w:vAlign w:val="center"/>
          </w:tcPr>
          <w:p w14:paraId="4AA24EFE">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360" w:lineRule="auto"/>
              <w:ind w:left="0"/>
              <w:jc w:val="center"/>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项目名称</w:t>
            </w:r>
          </w:p>
        </w:tc>
        <w:tc>
          <w:tcPr>
            <w:tcW w:w="1702" w:type="pct"/>
            <w:vAlign w:val="center"/>
          </w:tcPr>
          <w:p w14:paraId="0C34AF9D">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360" w:lineRule="auto"/>
              <w:ind w:left="0"/>
              <w:jc w:val="center"/>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投标总价</w:t>
            </w:r>
          </w:p>
        </w:tc>
        <w:tc>
          <w:tcPr>
            <w:tcW w:w="1799" w:type="pct"/>
            <w:vAlign w:val="center"/>
          </w:tcPr>
          <w:p w14:paraId="59FAF98D">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360" w:lineRule="auto"/>
              <w:ind w:left="0"/>
              <w:jc w:val="center"/>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14:paraId="56CC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497" w:type="pct"/>
            <w:vMerge w:val="restart"/>
          </w:tcPr>
          <w:p w14:paraId="22B11BC0">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360" w:lineRule="auto"/>
              <w:ind w:left="0"/>
              <w:jc w:val="center"/>
              <w:textAlignment w:val="auto"/>
              <w:rPr>
                <w:rFonts w:hint="eastAsia" w:ascii="宋体" w:hAnsi="宋体" w:eastAsia="宋体"/>
                <w:color w:val="auto"/>
                <w:sz w:val="21"/>
                <w:szCs w:val="21"/>
                <w:highlight w:val="none"/>
              </w:rPr>
            </w:pPr>
          </w:p>
        </w:tc>
        <w:tc>
          <w:tcPr>
            <w:tcW w:w="1702" w:type="pct"/>
            <w:vAlign w:val="center"/>
          </w:tcPr>
          <w:p w14:paraId="543376D9">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36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小写：</w:t>
            </w:r>
          </w:p>
        </w:tc>
        <w:tc>
          <w:tcPr>
            <w:tcW w:w="1799" w:type="pct"/>
            <w:vMerge w:val="restart"/>
          </w:tcPr>
          <w:p w14:paraId="0A59E0E8">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360" w:lineRule="auto"/>
              <w:ind w:left="0"/>
              <w:jc w:val="center"/>
              <w:textAlignment w:val="auto"/>
              <w:rPr>
                <w:rFonts w:hint="eastAsia" w:ascii="宋体" w:hAnsi="宋体" w:eastAsia="宋体"/>
                <w:color w:val="auto"/>
                <w:sz w:val="21"/>
                <w:szCs w:val="21"/>
                <w:highlight w:val="none"/>
              </w:rPr>
            </w:pPr>
          </w:p>
        </w:tc>
      </w:tr>
      <w:tr w14:paraId="7729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497" w:type="pct"/>
            <w:vMerge w:val="continue"/>
          </w:tcPr>
          <w:p w14:paraId="7EAA7C9B">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360" w:lineRule="auto"/>
              <w:ind w:left="0"/>
              <w:jc w:val="both"/>
              <w:textAlignment w:val="auto"/>
              <w:rPr>
                <w:color w:val="auto"/>
                <w:highlight w:val="none"/>
              </w:rPr>
            </w:pPr>
          </w:p>
        </w:tc>
        <w:tc>
          <w:tcPr>
            <w:tcW w:w="1702" w:type="pct"/>
            <w:vAlign w:val="center"/>
          </w:tcPr>
          <w:p w14:paraId="7D2C4AAB">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36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大写：</w:t>
            </w:r>
          </w:p>
        </w:tc>
        <w:tc>
          <w:tcPr>
            <w:tcW w:w="1799" w:type="pct"/>
            <w:vMerge w:val="continue"/>
          </w:tcPr>
          <w:p w14:paraId="724F7200">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360" w:lineRule="auto"/>
              <w:ind w:left="0"/>
              <w:jc w:val="both"/>
              <w:textAlignment w:val="auto"/>
              <w:rPr>
                <w:rFonts w:hint="eastAsia" w:ascii="宋体" w:hAnsi="宋体" w:eastAsia="宋体"/>
                <w:color w:val="auto"/>
                <w:sz w:val="21"/>
                <w:szCs w:val="21"/>
                <w:highlight w:val="none"/>
                <w:lang w:eastAsia="zh-CN"/>
              </w:rPr>
            </w:pPr>
          </w:p>
        </w:tc>
      </w:tr>
    </w:tbl>
    <w:p w14:paraId="3D906714">
      <w:pPr>
        <w:pageBreakBefore w:val="0"/>
        <w:kinsoku/>
        <w:topLinePunct w:val="0"/>
        <w:autoSpaceDE/>
        <w:autoSpaceDN/>
        <w:bidi w:val="0"/>
        <w:spacing w:after="0" w:line="360" w:lineRule="auto"/>
        <w:rPr>
          <w:rFonts w:ascii="宋体" w:hAnsi="宋体" w:eastAsia="宋体"/>
          <w:color w:val="auto"/>
          <w:sz w:val="21"/>
          <w:szCs w:val="21"/>
          <w:highlight w:val="none"/>
        </w:rPr>
      </w:pPr>
    </w:p>
    <w:p w14:paraId="5F396B5B">
      <w:pPr>
        <w:pageBreakBefore w:val="0"/>
        <w:kinsoku/>
        <w:topLinePunct w:val="0"/>
        <w:autoSpaceDE/>
        <w:autoSpaceDN/>
        <w:bidi w:val="0"/>
        <w:spacing w:after="0" w:line="360" w:lineRule="auto"/>
        <w:ind w:firstLine="359" w:firstLineChars="171"/>
        <w:rPr>
          <w:rFonts w:ascii="宋体" w:hAnsi="宋体" w:eastAsia="宋体"/>
          <w:color w:val="auto"/>
          <w:sz w:val="21"/>
          <w:szCs w:val="21"/>
          <w:highlight w:val="none"/>
        </w:rPr>
      </w:pPr>
    </w:p>
    <w:p w14:paraId="6382C669">
      <w:pPr>
        <w:pageBreakBefore w:val="0"/>
        <w:kinsoku/>
        <w:topLinePunct w:val="0"/>
        <w:autoSpaceDE/>
        <w:autoSpaceDN/>
        <w:bidi w:val="0"/>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14:paraId="2B22C45E">
      <w:pPr>
        <w:pageBreakBefore w:val="0"/>
        <w:kinsoku/>
        <w:topLinePunct w:val="0"/>
        <w:autoSpaceDE/>
        <w:autoSpaceDN/>
        <w:bidi w:val="0"/>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18E4757E">
      <w:pPr>
        <w:pageBreakBefore w:val="0"/>
        <w:kinsoku/>
        <w:topLinePunct w:val="0"/>
        <w:autoSpaceDE/>
        <w:autoSpaceDN/>
        <w:bidi w:val="0"/>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14:paraId="0BB9A81A">
      <w:pPr>
        <w:pageBreakBefore w:val="0"/>
        <w:kinsoku/>
        <w:topLinePunct w:val="0"/>
        <w:autoSpaceDE/>
        <w:autoSpaceDN/>
        <w:bidi w:val="0"/>
        <w:spacing w:after="0" w:line="360" w:lineRule="auto"/>
        <w:ind w:firstLine="359" w:firstLineChars="171"/>
        <w:rPr>
          <w:rFonts w:ascii="宋体" w:hAnsi="宋体" w:eastAsia="宋体"/>
          <w:color w:val="auto"/>
          <w:sz w:val="21"/>
          <w:szCs w:val="21"/>
          <w:highlight w:val="none"/>
        </w:rPr>
      </w:pPr>
    </w:p>
    <w:p w14:paraId="5FC421BF">
      <w:pPr>
        <w:pageBreakBefore w:val="0"/>
        <w:kinsoku/>
        <w:topLinePunct w:val="0"/>
        <w:autoSpaceDE/>
        <w:autoSpaceDN/>
        <w:bidi w:val="0"/>
        <w:spacing w:after="0" w:line="360" w:lineRule="auto"/>
        <w:ind w:left="391" w:hanging="390" w:hangingChars="186"/>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注：1、投标总价栏须</w:t>
      </w:r>
      <w:r>
        <w:rPr>
          <w:rFonts w:ascii="宋体" w:hAnsi="宋体" w:eastAsia="宋体"/>
          <w:color w:val="auto"/>
          <w:sz w:val="21"/>
          <w:szCs w:val="21"/>
          <w:highlight w:val="none"/>
        </w:rPr>
        <w:t>用</w:t>
      </w:r>
      <w:r>
        <w:rPr>
          <w:rFonts w:hint="eastAsia" w:ascii="宋体" w:hAnsi="宋体" w:eastAsia="宋体"/>
          <w:color w:val="auto"/>
          <w:sz w:val="21"/>
          <w:szCs w:val="21"/>
          <w:highlight w:val="none"/>
        </w:rPr>
        <w:t>大写金额和小写金额两种方式</w:t>
      </w:r>
      <w:r>
        <w:rPr>
          <w:rFonts w:ascii="宋体" w:hAnsi="宋体" w:eastAsia="宋体"/>
          <w:color w:val="auto"/>
          <w:sz w:val="21"/>
          <w:szCs w:val="21"/>
          <w:highlight w:val="none"/>
        </w:rPr>
        <w:t>表示的投标总价</w:t>
      </w:r>
      <w:r>
        <w:rPr>
          <w:rFonts w:hint="eastAsia" w:ascii="宋体" w:hAnsi="宋体" w:eastAsia="宋体"/>
          <w:color w:val="auto"/>
          <w:sz w:val="21"/>
          <w:szCs w:val="21"/>
          <w:highlight w:val="none"/>
        </w:rPr>
        <w:t>，报价保留小数点后两位。投标总价大小写不一致，以大写为准。投标总价必须准确唯一且应包含招标文件要求的所有费用。</w:t>
      </w:r>
    </w:p>
    <w:p w14:paraId="339A930C">
      <w:pPr>
        <w:pageBreakBefore w:val="0"/>
        <w:kinsoku/>
        <w:topLinePunct w:val="0"/>
        <w:autoSpaceDE/>
        <w:autoSpaceDN/>
        <w:bidi w:val="0"/>
        <w:spacing w:after="0" w:line="360" w:lineRule="auto"/>
        <w:ind w:left="374" w:leftChars="170"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2、此表应按投标人须知的规定密封标记并与法人代表证明书、法定代表人授权书（法人投标无需提交授权书）</w:t>
      </w:r>
      <w:r>
        <w:rPr>
          <w:rFonts w:hint="eastAsia" w:ascii="宋体" w:hAnsi="宋体" w:eastAsia="宋体"/>
          <w:color w:val="auto"/>
          <w:sz w:val="21"/>
          <w:szCs w:val="21"/>
          <w:highlight w:val="none"/>
          <w:lang w:eastAsia="zh-CN"/>
        </w:rPr>
        <w:t>一同密封提交。还须包括并不限于：投标保证金支付凭证银行汇款底单和投标保证金汇入情况说明。</w:t>
      </w:r>
    </w:p>
    <w:p w14:paraId="75B31D97">
      <w:pPr>
        <w:pageBreakBefore w:val="0"/>
        <w:kinsoku/>
        <w:topLinePunct w:val="0"/>
        <w:autoSpaceDE/>
        <w:autoSpaceDN/>
        <w:bidi w:val="0"/>
        <w:spacing w:after="0" w:line="360" w:lineRule="auto"/>
        <w:ind w:left="374" w:leftChars="170"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3、未按招标文件要求报价、填写开标一览表是导致投标人废标的常见问题，请投标人仔细填写，认真核对。</w:t>
      </w:r>
    </w:p>
    <w:p w14:paraId="1FD9816A">
      <w:pPr>
        <w:pageBreakBefore w:val="0"/>
        <w:kinsoku/>
        <w:topLinePunct w:val="0"/>
        <w:autoSpaceDE/>
        <w:autoSpaceDN/>
        <w:bidi w:val="0"/>
        <w:adjustRightInd/>
        <w:snapToGrid/>
        <w:spacing w:line="360" w:lineRule="auto"/>
        <w:rPr>
          <w:color w:val="auto"/>
          <w:highlight w:val="none"/>
        </w:rPr>
      </w:pPr>
    </w:p>
    <w:p w14:paraId="516887BB">
      <w:pPr>
        <w:pageBreakBefore w:val="0"/>
        <w:kinsoku/>
        <w:topLinePunct w:val="0"/>
        <w:autoSpaceDE/>
        <w:autoSpaceDN/>
        <w:bidi w:val="0"/>
        <w:adjustRightInd/>
        <w:snapToGrid/>
        <w:spacing w:line="360" w:lineRule="auto"/>
        <w:rPr>
          <w:color w:val="auto"/>
          <w:highlight w:val="none"/>
        </w:rPr>
      </w:pPr>
      <w:r>
        <w:rPr>
          <w:color w:val="auto"/>
          <w:highlight w:val="none"/>
        </w:rPr>
        <w:br w:type="page"/>
      </w:r>
    </w:p>
    <w:p w14:paraId="2969401C">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94" w:name="_Toc15530"/>
      <w:r>
        <w:rPr>
          <w:rFonts w:hint="eastAsia" w:ascii="宋体" w:hAnsi="宋体" w:eastAsia="宋体"/>
          <w:color w:val="auto"/>
          <w:sz w:val="21"/>
          <w:szCs w:val="21"/>
          <w:highlight w:val="none"/>
        </w:rPr>
        <w:t xml:space="preserve">附件4. </w:t>
      </w:r>
      <w:r>
        <w:rPr>
          <w:rFonts w:hint="eastAsia" w:ascii="宋体" w:hAnsi="宋体" w:eastAsia="宋体" w:cs="Times New Roman"/>
          <w:color w:val="auto"/>
          <w:sz w:val="21"/>
          <w:szCs w:val="21"/>
          <w:highlight w:val="none"/>
        </w:rPr>
        <w:t>投标分项报价表格式</w:t>
      </w:r>
      <w:bookmarkEnd w:id="94"/>
    </w:p>
    <w:p w14:paraId="04A96EE5">
      <w:pPr>
        <w:pageBreakBefore w:val="0"/>
        <w:kinsoku/>
        <w:topLinePunct w:val="0"/>
        <w:autoSpaceDE/>
        <w:autoSpaceDN/>
        <w:bidi w:val="0"/>
        <w:spacing w:line="360" w:lineRule="auto"/>
        <w:jc w:val="center"/>
        <w:rPr>
          <w:rFonts w:ascii="黑体" w:eastAsia="黑体"/>
          <w:color w:val="auto"/>
          <w:sz w:val="32"/>
          <w:szCs w:val="32"/>
          <w:highlight w:val="none"/>
        </w:rPr>
      </w:pPr>
    </w:p>
    <w:p w14:paraId="3D99AEE9">
      <w:pPr>
        <w:pageBreakBefore w:val="0"/>
        <w:kinsoku/>
        <w:topLinePunct w:val="0"/>
        <w:autoSpaceDE/>
        <w:autoSpaceDN/>
        <w:bidi w:val="0"/>
        <w:spacing w:line="360" w:lineRule="auto"/>
        <w:jc w:val="center"/>
        <w:rPr>
          <w:rFonts w:ascii="黑体" w:eastAsia="黑体"/>
          <w:color w:val="auto"/>
          <w:sz w:val="32"/>
          <w:szCs w:val="32"/>
          <w:highlight w:val="none"/>
        </w:rPr>
      </w:pPr>
      <w:r>
        <w:rPr>
          <w:rFonts w:hint="eastAsia" w:ascii="黑体" w:eastAsia="黑体"/>
          <w:color w:val="auto"/>
          <w:sz w:val="32"/>
          <w:szCs w:val="32"/>
          <w:highlight w:val="none"/>
        </w:rPr>
        <w:t>货物（服务）分项报价表</w:t>
      </w:r>
      <w:r>
        <w:rPr>
          <w:rFonts w:hint="eastAsia" w:ascii="宋体" w:hAnsi="宋体" w:eastAsia="宋体"/>
          <w:color w:val="auto"/>
          <w:sz w:val="21"/>
          <w:szCs w:val="21"/>
          <w:highlight w:val="none"/>
        </w:rPr>
        <w:t xml:space="preserve">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375"/>
        <w:gridCol w:w="1916"/>
        <w:gridCol w:w="1050"/>
        <w:gridCol w:w="1103"/>
        <w:gridCol w:w="1183"/>
        <w:gridCol w:w="1079"/>
      </w:tblGrid>
      <w:tr w14:paraId="234B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79" w:type="pct"/>
            <w:vAlign w:val="center"/>
          </w:tcPr>
          <w:p w14:paraId="4846C33C">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807" w:type="pct"/>
            <w:vAlign w:val="center"/>
          </w:tcPr>
          <w:p w14:paraId="15346D23">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分项</w:t>
            </w:r>
            <w:r>
              <w:rPr>
                <w:rFonts w:hint="eastAsia" w:ascii="宋体" w:hAnsi="宋体" w:eastAsia="宋体"/>
                <w:color w:val="auto"/>
                <w:sz w:val="21"/>
                <w:szCs w:val="21"/>
                <w:highlight w:val="none"/>
              </w:rPr>
              <w:t>名称</w:t>
            </w:r>
          </w:p>
        </w:tc>
        <w:tc>
          <w:tcPr>
            <w:tcW w:w="1124" w:type="pct"/>
            <w:vAlign w:val="center"/>
          </w:tcPr>
          <w:p w14:paraId="1BD7BC9F">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分项内容</w:t>
            </w:r>
          </w:p>
        </w:tc>
        <w:tc>
          <w:tcPr>
            <w:tcW w:w="616" w:type="pct"/>
            <w:vAlign w:val="center"/>
          </w:tcPr>
          <w:p w14:paraId="231016B2">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645" w:type="pct"/>
            <w:vAlign w:val="center"/>
          </w:tcPr>
          <w:p w14:paraId="42BA0381">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单价</w:t>
            </w:r>
          </w:p>
        </w:tc>
        <w:tc>
          <w:tcPr>
            <w:tcW w:w="694" w:type="pct"/>
            <w:vAlign w:val="center"/>
          </w:tcPr>
          <w:p w14:paraId="4E3B165C">
            <w:pPr>
              <w:pageBreakBefore w:val="0"/>
              <w:kinsoku/>
              <w:topLinePunct w:val="0"/>
              <w:autoSpaceDE/>
              <w:autoSpaceDN/>
              <w:bidi w:val="0"/>
              <w:spacing w:before="100" w:beforeAutospacing="1" w:after="100" w:afterAutospacing="1"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总价</w:t>
            </w:r>
          </w:p>
        </w:tc>
        <w:tc>
          <w:tcPr>
            <w:tcW w:w="632" w:type="pct"/>
            <w:vAlign w:val="center"/>
          </w:tcPr>
          <w:p w14:paraId="49B1742B">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14:paraId="61EB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79" w:type="pct"/>
            <w:vAlign w:val="center"/>
          </w:tcPr>
          <w:p w14:paraId="6B3E5EBB">
            <w:pPr>
              <w:pageBreakBefore w:val="0"/>
              <w:widowControl w:val="0"/>
              <w:kinsoku/>
              <w:topLinePunct w:val="0"/>
              <w:autoSpaceDE/>
              <w:autoSpaceDN/>
              <w:bidi w:val="0"/>
              <w:adjustRightInd/>
              <w:snapToGrid/>
              <w:spacing w:before="100" w:beforeAutospacing="1" w:after="100" w:afterAutospacing="1"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807" w:type="pct"/>
            <w:vAlign w:val="center"/>
          </w:tcPr>
          <w:p w14:paraId="5C73E9F6">
            <w:pPr>
              <w:pageBreakBefore w:val="0"/>
              <w:kinsoku/>
              <w:topLinePunct w:val="0"/>
              <w:autoSpaceDE/>
              <w:autoSpaceDN/>
              <w:bidi w:val="0"/>
              <w:spacing w:before="100" w:beforeAutospacing="1" w:after="100" w:afterAutospacing="1" w:line="360" w:lineRule="auto"/>
              <w:rPr>
                <w:rFonts w:ascii="宋体" w:hAnsi="宋体" w:eastAsia="宋体"/>
                <w:color w:val="auto"/>
                <w:sz w:val="21"/>
                <w:szCs w:val="21"/>
                <w:highlight w:val="none"/>
              </w:rPr>
            </w:pPr>
          </w:p>
        </w:tc>
        <w:tc>
          <w:tcPr>
            <w:tcW w:w="1124" w:type="pct"/>
            <w:vAlign w:val="center"/>
          </w:tcPr>
          <w:p w14:paraId="439E2D18">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16" w:type="pct"/>
            <w:vAlign w:val="center"/>
          </w:tcPr>
          <w:p w14:paraId="49AA3A02">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45" w:type="pct"/>
            <w:vAlign w:val="center"/>
          </w:tcPr>
          <w:p w14:paraId="02F46F63">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94" w:type="pct"/>
            <w:vAlign w:val="center"/>
          </w:tcPr>
          <w:p w14:paraId="617486BD">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32" w:type="pct"/>
            <w:vAlign w:val="center"/>
          </w:tcPr>
          <w:p w14:paraId="7637EEBE">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r>
      <w:tr w14:paraId="69B8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79" w:type="pct"/>
            <w:vAlign w:val="center"/>
          </w:tcPr>
          <w:p w14:paraId="3518F5C6">
            <w:pPr>
              <w:pageBreakBefore w:val="0"/>
              <w:widowControl w:val="0"/>
              <w:kinsoku/>
              <w:topLinePunct w:val="0"/>
              <w:autoSpaceDE/>
              <w:autoSpaceDN/>
              <w:bidi w:val="0"/>
              <w:adjustRightInd/>
              <w:snapToGrid/>
              <w:spacing w:before="100" w:beforeAutospacing="1" w:after="100" w:afterAutospacing="1"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807" w:type="pct"/>
            <w:vAlign w:val="center"/>
          </w:tcPr>
          <w:p w14:paraId="56E27234">
            <w:pPr>
              <w:pageBreakBefore w:val="0"/>
              <w:kinsoku/>
              <w:topLinePunct w:val="0"/>
              <w:autoSpaceDE/>
              <w:autoSpaceDN/>
              <w:bidi w:val="0"/>
              <w:spacing w:before="100" w:beforeAutospacing="1" w:after="100" w:afterAutospacing="1" w:line="360" w:lineRule="auto"/>
              <w:rPr>
                <w:rFonts w:ascii="宋体" w:hAnsi="宋体" w:eastAsia="宋体"/>
                <w:color w:val="auto"/>
                <w:sz w:val="21"/>
                <w:szCs w:val="21"/>
                <w:highlight w:val="none"/>
              </w:rPr>
            </w:pPr>
          </w:p>
        </w:tc>
        <w:tc>
          <w:tcPr>
            <w:tcW w:w="1124" w:type="pct"/>
            <w:vAlign w:val="center"/>
          </w:tcPr>
          <w:p w14:paraId="13DD9055">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16" w:type="pct"/>
            <w:vAlign w:val="center"/>
          </w:tcPr>
          <w:p w14:paraId="636E31EF">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45" w:type="pct"/>
            <w:vAlign w:val="center"/>
          </w:tcPr>
          <w:p w14:paraId="1B6FC77C">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94" w:type="pct"/>
            <w:vAlign w:val="center"/>
          </w:tcPr>
          <w:p w14:paraId="508BEBBE">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32" w:type="pct"/>
            <w:vAlign w:val="center"/>
          </w:tcPr>
          <w:p w14:paraId="62A2650F">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r>
      <w:tr w14:paraId="473A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79" w:type="pct"/>
            <w:vAlign w:val="center"/>
          </w:tcPr>
          <w:p w14:paraId="10AD9ED1">
            <w:pPr>
              <w:pageBreakBefore w:val="0"/>
              <w:widowControl w:val="0"/>
              <w:kinsoku/>
              <w:topLinePunct w:val="0"/>
              <w:autoSpaceDE/>
              <w:autoSpaceDN/>
              <w:bidi w:val="0"/>
              <w:adjustRightInd/>
              <w:snapToGrid/>
              <w:spacing w:before="100" w:beforeAutospacing="1" w:after="100" w:afterAutospacing="1"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807" w:type="pct"/>
            <w:vAlign w:val="center"/>
          </w:tcPr>
          <w:p w14:paraId="30F3DA74">
            <w:pPr>
              <w:pageBreakBefore w:val="0"/>
              <w:kinsoku/>
              <w:topLinePunct w:val="0"/>
              <w:autoSpaceDE/>
              <w:autoSpaceDN/>
              <w:bidi w:val="0"/>
              <w:spacing w:before="100" w:beforeAutospacing="1" w:after="100" w:afterAutospacing="1" w:line="360" w:lineRule="auto"/>
              <w:rPr>
                <w:rFonts w:ascii="宋体" w:hAnsi="宋体" w:eastAsia="宋体"/>
                <w:color w:val="auto"/>
                <w:sz w:val="21"/>
                <w:szCs w:val="21"/>
                <w:highlight w:val="none"/>
              </w:rPr>
            </w:pPr>
          </w:p>
        </w:tc>
        <w:tc>
          <w:tcPr>
            <w:tcW w:w="1124" w:type="pct"/>
            <w:vAlign w:val="center"/>
          </w:tcPr>
          <w:p w14:paraId="44437AB6">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16" w:type="pct"/>
            <w:vAlign w:val="center"/>
          </w:tcPr>
          <w:p w14:paraId="0E0607C1">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45" w:type="pct"/>
            <w:vAlign w:val="center"/>
          </w:tcPr>
          <w:p w14:paraId="5174A756">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94" w:type="pct"/>
            <w:vAlign w:val="center"/>
          </w:tcPr>
          <w:p w14:paraId="56656C54">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c>
          <w:tcPr>
            <w:tcW w:w="632" w:type="pct"/>
            <w:vAlign w:val="center"/>
          </w:tcPr>
          <w:p w14:paraId="2B1CE19B">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r>
      <w:tr w14:paraId="2CD3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673" w:type="pct"/>
            <w:gridSpan w:val="5"/>
            <w:vAlign w:val="center"/>
          </w:tcPr>
          <w:p w14:paraId="32A51253">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总价</w:t>
            </w:r>
          </w:p>
        </w:tc>
        <w:tc>
          <w:tcPr>
            <w:tcW w:w="1326" w:type="pct"/>
            <w:gridSpan w:val="2"/>
            <w:vAlign w:val="center"/>
          </w:tcPr>
          <w:p w14:paraId="51854C9F">
            <w:pPr>
              <w:pageBreakBefore w:val="0"/>
              <w:kinsoku/>
              <w:topLinePunct w:val="0"/>
              <w:autoSpaceDE/>
              <w:autoSpaceDN/>
              <w:bidi w:val="0"/>
              <w:spacing w:before="100" w:beforeAutospacing="1" w:after="100" w:afterAutospacing="1" w:line="360" w:lineRule="auto"/>
              <w:jc w:val="center"/>
              <w:rPr>
                <w:rFonts w:ascii="宋体" w:hAnsi="宋体" w:eastAsia="宋体"/>
                <w:color w:val="auto"/>
                <w:sz w:val="21"/>
                <w:szCs w:val="21"/>
                <w:highlight w:val="none"/>
              </w:rPr>
            </w:pPr>
          </w:p>
        </w:tc>
      </w:tr>
      <w:tr w14:paraId="1CC7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5000" w:type="pct"/>
            <w:gridSpan w:val="7"/>
            <w:vAlign w:val="center"/>
          </w:tcPr>
          <w:p w14:paraId="4B5FF0E8">
            <w:pPr>
              <w:pageBreakBefore w:val="0"/>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14:paraId="1C2D692D">
            <w:pPr>
              <w:pageBreakBefore w:val="0"/>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43D76FC3">
            <w:pPr>
              <w:pageBreakBefore w:val="0"/>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tc>
      </w:tr>
    </w:tbl>
    <w:p w14:paraId="6F49EFEB">
      <w:pPr>
        <w:pageBreakBefore w:val="0"/>
        <w:kinsoku/>
        <w:topLinePunct w:val="0"/>
        <w:autoSpaceDE/>
        <w:autoSpaceDN/>
        <w:bidi w:val="0"/>
        <w:spacing w:line="360" w:lineRule="auto"/>
        <w:rPr>
          <w:rFonts w:ascii="宋体" w:hAnsi="宋体" w:eastAsia="宋体" w:cs="宋体"/>
          <w:b/>
          <w:color w:val="auto"/>
          <w:sz w:val="21"/>
          <w:szCs w:val="21"/>
          <w:highlight w:val="none"/>
        </w:rPr>
      </w:pPr>
    </w:p>
    <w:p w14:paraId="43B86386">
      <w:pPr>
        <w:pageBreakBefore w:val="0"/>
        <w:kinsoku/>
        <w:topLinePunct w:val="0"/>
        <w:autoSpaceDE/>
        <w:autoSpaceDN/>
        <w:bidi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14:paraId="17D488BC">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95" w:name="_Toc13261"/>
      <w:r>
        <w:rPr>
          <w:rFonts w:hint="eastAsia" w:ascii="宋体" w:hAnsi="宋体" w:eastAsia="宋体"/>
          <w:color w:val="auto"/>
          <w:sz w:val="21"/>
          <w:szCs w:val="21"/>
          <w:highlight w:val="none"/>
        </w:rPr>
        <w:t>附件5. 法定代表人证明书格式</w:t>
      </w:r>
      <w:bookmarkEnd w:id="95"/>
    </w:p>
    <w:p w14:paraId="79B57C26">
      <w:pPr>
        <w:pageBreakBefore w:val="0"/>
        <w:kinsoku/>
        <w:topLinePunct w:val="0"/>
        <w:autoSpaceDE/>
        <w:autoSpaceDN/>
        <w:bidi w:val="0"/>
        <w:spacing w:line="360" w:lineRule="auto"/>
        <w:rPr>
          <w:color w:val="auto"/>
          <w:highlight w:val="none"/>
        </w:rPr>
      </w:pPr>
    </w:p>
    <w:p w14:paraId="3012CB0D">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14:paraId="5943FC7D">
      <w:pPr>
        <w:pStyle w:val="29"/>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致：三方诚信招标有限公司东莞分公司</w:t>
      </w:r>
    </w:p>
    <w:p w14:paraId="28DF8312">
      <w:pPr>
        <w:pStyle w:val="29"/>
        <w:spacing w:line="420" w:lineRule="atLeast"/>
        <w:ind w:firstLine="433"/>
        <w:rPr>
          <w:rFonts w:ascii="宋体" w:eastAsia="宋体"/>
          <w:color w:val="auto"/>
          <w:sz w:val="21"/>
          <w:szCs w:val="21"/>
          <w:highlight w:val="none"/>
        </w:rPr>
      </w:pPr>
    </w:p>
    <w:p w14:paraId="6A1E4FB1">
      <w:pPr>
        <w:pStyle w:val="29"/>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14:paraId="04F05168">
      <w:pPr>
        <w:pStyle w:val="29"/>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14:paraId="7F90A7DA">
      <w:pPr>
        <w:pStyle w:val="29"/>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14:paraId="5F6C7101">
      <w:pPr>
        <w:pStyle w:val="29"/>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14:paraId="44250A52">
      <w:pPr>
        <w:pStyle w:val="29"/>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r>
        <w:rPr>
          <w:rFonts w:hint="eastAsia" w:ascii="宋体" w:eastAsia="宋体"/>
          <w:color w:val="auto"/>
          <w:sz w:val="21"/>
          <w:szCs w:val="21"/>
          <w:highlight w:val="none"/>
          <w:u w:val="single"/>
        </w:rPr>
        <w:t xml:space="preserve">                                      </w:t>
      </w:r>
    </w:p>
    <w:p w14:paraId="504C0521">
      <w:pPr>
        <w:pStyle w:val="29"/>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性别：</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年龄：</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职务：</w:t>
      </w:r>
      <w:r>
        <w:rPr>
          <w:rFonts w:hint="eastAsia" w:ascii="宋体" w:eastAsia="宋体"/>
          <w:color w:val="auto"/>
          <w:sz w:val="21"/>
          <w:szCs w:val="21"/>
          <w:highlight w:val="none"/>
          <w:u w:val="single"/>
        </w:rPr>
        <w:t xml:space="preserve">            </w:t>
      </w:r>
    </w:p>
    <w:p w14:paraId="377F2846">
      <w:pPr>
        <w:pStyle w:val="29"/>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（投标人名称）的法定代表人。</w:t>
      </w:r>
    </w:p>
    <w:p w14:paraId="39B03B65">
      <w:pPr>
        <w:spacing w:line="420" w:lineRule="atLeas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特此证明。</w:t>
      </w:r>
    </w:p>
    <w:p w14:paraId="15C72983">
      <w:pPr>
        <w:pStyle w:val="29"/>
        <w:spacing w:line="500" w:lineRule="atLeast"/>
        <w:ind w:firstLine="3517" w:firstLineChars="1675"/>
        <w:rPr>
          <w:rFonts w:ascii="宋体" w:eastAsia="宋体"/>
          <w:color w:val="auto"/>
          <w:sz w:val="21"/>
          <w:szCs w:val="21"/>
          <w:highlight w:val="none"/>
        </w:rPr>
      </w:pPr>
    </w:p>
    <w:p w14:paraId="5637A902">
      <w:pPr>
        <w:pStyle w:val="29"/>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14:paraId="7FC2353B">
      <w:pPr>
        <w:pStyle w:val="29"/>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r>
        <w:rPr>
          <w:rFonts w:hint="eastAsia" w:ascii="宋体" w:eastAsia="宋体"/>
          <w:color w:val="auto"/>
          <w:sz w:val="21"/>
          <w:szCs w:val="21"/>
          <w:highlight w:val="none"/>
          <w:u w:val="single"/>
        </w:rPr>
        <w:t xml:space="preserve">               </w:t>
      </w:r>
    </w:p>
    <w:p w14:paraId="4AE3408C">
      <w:pPr>
        <w:pStyle w:val="29"/>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14:paraId="1187399C">
      <w:pPr>
        <w:pStyle w:val="29"/>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r>
        <w:rPr>
          <w:rFonts w:hint="eastAsia" w:ascii="宋体" w:eastAsia="宋体"/>
          <w:color w:val="auto"/>
          <w:sz w:val="21"/>
          <w:szCs w:val="21"/>
          <w:highlight w:val="none"/>
          <w:u w:val="single"/>
        </w:rPr>
        <w:t xml:space="preserve">                              </w:t>
      </w:r>
    </w:p>
    <w:p w14:paraId="4D9FCB3C">
      <w:pPr>
        <w:pStyle w:val="29"/>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14:paraId="3963251B">
      <w:pPr>
        <w:ind w:firstLine="420" w:firstLineChars="200"/>
        <w:rPr>
          <w:rFonts w:ascii="宋体" w:hAnsi="宋体" w:eastAsia="宋体"/>
          <w:color w:val="auto"/>
          <w:sz w:val="21"/>
          <w:szCs w:val="21"/>
          <w:highlight w:val="none"/>
        </w:rPr>
      </w:pPr>
    </w:p>
    <w:p w14:paraId="29BE2012">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注：法定代表人身份证明书需附法人代表身份证复印件。</w:t>
      </w:r>
    </w:p>
    <w:tbl>
      <w:tblPr>
        <w:tblStyle w:val="18"/>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4B36D2C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3F7D36D5">
            <w:pPr>
              <w:pStyle w:val="29"/>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14:paraId="72892091">
            <w:pPr>
              <w:pStyle w:val="29"/>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0015063E">
      <w:pPr>
        <w:pageBreakBefore w:val="0"/>
        <w:kinsoku/>
        <w:topLinePunct w:val="0"/>
        <w:autoSpaceDE/>
        <w:autoSpaceDN/>
        <w:bidi w:val="0"/>
        <w:spacing w:line="360" w:lineRule="auto"/>
        <w:rPr>
          <w:color w:val="auto"/>
          <w:highlight w:val="none"/>
        </w:rPr>
      </w:pPr>
    </w:p>
    <w:p w14:paraId="7FE6D958">
      <w:pPr>
        <w:pageBreakBefore w:val="0"/>
        <w:kinsoku/>
        <w:topLinePunct w:val="0"/>
        <w:autoSpaceDE/>
        <w:autoSpaceDN/>
        <w:bidi w:val="0"/>
        <w:adjustRightInd/>
        <w:snapToGrid/>
        <w:spacing w:line="360"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14:paraId="1CC1C7E6">
      <w:pPr>
        <w:pStyle w:val="5"/>
        <w:pageBreakBefore w:val="0"/>
        <w:widowControl w:val="0"/>
        <w:kinsoku/>
        <w:overflowPunct w:val="0"/>
        <w:topLinePunct w:val="0"/>
        <w:autoSpaceDE/>
        <w:autoSpaceDN/>
        <w:bidi w:val="0"/>
        <w:spacing w:before="0" w:after="0" w:line="360" w:lineRule="auto"/>
        <w:rPr>
          <w:color w:val="auto"/>
          <w:highlight w:val="none"/>
        </w:rPr>
      </w:pPr>
      <w:bookmarkStart w:id="96" w:name="_Toc19428"/>
      <w:r>
        <w:rPr>
          <w:rFonts w:hint="eastAsia" w:ascii="宋体" w:hAnsi="宋体" w:eastAsia="宋体"/>
          <w:color w:val="auto"/>
          <w:sz w:val="21"/>
          <w:szCs w:val="21"/>
          <w:highlight w:val="none"/>
        </w:rPr>
        <w:t>附件6.法定代表人授权书格式</w:t>
      </w:r>
      <w:bookmarkEnd w:id="96"/>
    </w:p>
    <w:p w14:paraId="6FD04093">
      <w:pPr>
        <w:pageBreakBefore w:val="0"/>
        <w:kinsoku/>
        <w:topLinePunct w:val="0"/>
        <w:autoSpaceDE/>
        <w:autoSpaceDN/>
        <w:bidi w:val="0"/>
        <w:spacing w:line="360" w:lineRule="auto"/>
        <w:rPr>
          <w:color w:val="auto"/>
          <w:highlight w:val="none"/>
        </w:rPr>
      </w:pPr>
    </w:p>
    <w:p w14:paraId="2BB6BFBB">
      <w:pPr>
        <w:pageBreakBefore w:val="0"/>
        <w:kinsoku/>
        <w:topLinePunct w:val="0"/>
        <w:autoSpaceDE/>
        <w:autoSpaceDN/>
        <w:bidi w:val="0"/>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14:paraId="7A78D44F">
      <w:pPr>
        <w:pStyle w:val="29"/>
        <w:pageBreakBefore w:val="0"/>
        <w:kinsoku/>
        <w:topLinePunct w:val="0"/>
        <w:autoSpaceDE/>
        <w:autoSpaceDN/>
        <w:bidi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致：三方诚信招标有限公司东莞分公司</w:t>
      </w:r>
    </w:p>
    <w:p w14:paraId="3B732967">
      <w:pPr>
        <w:pStyle w:val="29"/>
        <w:pageBreakBefore w:val="0"/>
        <w:kinsoku/>
        <w:topLinePunct w:val="0"/>
        <w:autoSpaceDE/>
        <w:autoSpaceDN/>
        <w:bidi w:val="0"/>
        <w:spacing w:line="360" w:lineRule="auto"/>
        <w:ind w:firstLine="433"/>
        <w:rPr>
          <w:rFonts w:ascii="宋体" w:eastAsia="宋体"/>
          <w:color w:val="auto"/>
          <w:sz w:val="21"/>
          <w:szCs w:val="21"/>
          <w:highlight w:val="none"/>
        </w:rPr>
      </w:pPr>
    </w:p>
    <w:p w14:paraId="61CD3B6D">
      <w:pPr>
        <w:pageBreakBefore w:val="0"/>
        <w:kinsoku/>
        <w:topLinePunct w:val="0"/>
        <w:autoSpaceDE/>
        <w:autoSpaceDN/>
        <w:bidi w:val="0"/>
        <w:spacing w:after="0"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本授权书声明：注册于</w:t>
      </w:r>
      <w:r>
        <w:rPr>
          <w:rFonts w:hint="eastAsia" w:ascii="宋体" w:hAnsi="宋体" w:eastAsia="宋体" w:cs="Times New Roman"/>
          <w:color w:val="auto"/>
          <w:sz w:val="21"/>
          <w:szCs w:val="21"/>
          <w:highlight w:val="none"/>
          <w:u w:val="single"/>
        </w:rPr>
        <w:t>（国家或地区的名称）</w:t>
      </w:r>
      <w:r>
        <w:rPr>
          <w:rFonts w:hint="eastAsia" w:ascii="宋体" w:hAnsi="宋体" w:eastAsia="宋体" w:cs="Times New Roman"/>
          <w:color w:val="auto"/>
          <w:sz w:val="21"/>
          <w:szCs w:val="21"/>
          <w:highlight w:val="none"/>
        </w:rPr>
        <w:t>的</w:t>
      </w:r>
      <w:r>
        <w:rPr>
          <w:rFonts w:hint="eastAsia" w:ascii="宋体" w:hAnsi="宋体" w:eastAsia="宋体" w:cs="Times New Roman"/>
          <w:color w:val="auto"/>
          <w:sz w:val="21"/>
          <w:szCs w:val="21"/>
          <w:highlight w:val="none"/>
          <w:u w:val="single"/>
        </w:rPr>
        <w:t>（单位名称）</w:t>
      </w:r>
      <w:r>
        <w:rPr>
          <w:rFonts w:hint="eastAsia" w:ascii="宋体" w:hAnsi="宋体" w:eastAsia="宋体" w:cs="Times New Roman"/>
          <w:color w:val="auto"/>
          <w:sz w:val="21"/>
          <w:szCs w:val="21"/>
          <w:highlight w:val="none"/>
        </w:rPr>
        <w:t>的在下面签字的</w:t>
      </w:r>
      <w:r>
        <w:rPr>
          <w:rFonts w:hint="eastAsia" w:ascii="宋体" w:hAnsi="宋体" w:eastAsia="宋体" w:cs="Times New Roman"/>
          <w:color w:val="auto"/>
          <w:sz w:val="21"/>
          <w:szCs w:val="21"/>
          <w:highlight w:val="none"/>
          <w:u w:val="single"/>
        </w:rPr>
        <w:t>（法定代表人姓名、职务）</w:t>
      </w:r>
      <w:r>
        <w:rPr>
          <w:rFonts w:hint="eastAsia" w:ascii="宋体" w:hAnsi="宋体" w:eastAsia="宋体" w:cs="Times New Roman"/>
          <w:color w:val="auto"/>
          <w:sz w:val="21"/>
          <w:szCs w:val="21"/>
          <w:highlight w:val="none"/>
        </w:rPr>
        <w:t>代表本单位授权</w:t>
      </w:r>
      <w:r>
        <w:rPr>
          <w:rFonts w:hint="eastAsia" w:ascii="宋体" w:hAnsi="宋体" w:eastAsia="宋体" w:cs="Times New Roman"/>
          <w:color w:val="auto"/>
          <w:sz w:val="21"/>
          <w:szCs w:val="21"/>
          <w:highlight w:val="none"/>
          <w:u w:val="single"/>
        </w:rPr>
        <w:t>（单位名称）</w:t>
      </w:r>
      <w:r>
        <w:rPr>
          <w:rFonts w:hint="eastAsia" w:ascii="宋体" w:hAnsi="宋体" w:eastAsia="宋体" w:cs="Times New Roman"/>
          <w:color w:val="auto"/>
          <w:sz w:val="21"/>
          <w:szCs w:val="21"/>
          <w:highlight w:val="none"/>
        </w:rPr>
        <w:t>的在下面签字的</w:t>
      </w:r>
      <w:r>
        <w:rPr>
          <w:rFonts w:hint="eastAsia" w:ascii="宋体" w:hAnsi="宋体" w:eastAsia="宋体" w:cs="Times New Roman"/>
          <w:color w:val="auto"/>
          <w:sz w:val="21"/>
          <w:szCs w:val="21"/>
          <w:highlight w:val="none"/>
          <w:u w:val="single"/>
        </w:rPr>
        <w:t>（被授权人的姓名、职务）</w:t>
      </w:r>
      <w:r>
        <w:rPr>
          <w:rFonts w:hint="eastAsia" w:ascii="宋体" w:hAnsi="宋体" w:eastAsia="宋体" w:cs="Times New Roman"/>
          <w:color w:val="auto"/>
          <w:sz w:val="21"/>
          <w:szCs w:val="21"/>
          <w:highlight w:val="none"/>
        </w:rPr>
        <w:t>为本单位的合法代理人，就</w:t>
      </w:r>
      <w:r>
        <w:rPr>
          <w:rFonts w:hint="eastAsia" w:ascii="宋体" w:hAnsi="宋体" w:eastAsia="宋体" w:cs="Times New Roman"/>
          <w:color w:val="auto"/>
          <w:sz w:val="21"/>
          <w:szCs w:val="21"/>
          <w:highlight w:val="none"/>
          <w:u w:val="single"/>
        </w:rPr>
        <w:t>（项目名称）</w:t>
      </w:r>
      <w:r>
        <w:rPr>
          <w:rFonts w:hint="eastAsia" w:ascii="宋体" w:hAnsi="宋体" w:eastAsia="宋体" w:cs="Times New Roman"/>
          <w:color w:val="auto"/>
          <w:sz w:val="21"/>
          <w:szCs w:val="21"/>
          <w:highlight w:val="none"/>
        </w:rPr>
        <w:t>投标及参加项目谈判，以本单位名义处理一切与之有关的事务。</w:t>
      </w:r>
    </w:p>
    <w:p w14:paraId="34F63267">
      <w:pPr>
        <w:pageBreakBefore w:val="0"/>
        <w:kinsoku/>
        <w:topLinePunct w:val="0"/>
        <w:autoSpaceDE/>
        <w:autoSpaceDN/>
        <w:bidi w:val="0"/>
        <w:spacing w:after="0" w:line="360" w:lineRule="auto"/>
        <w:ind w:firstLine="315" w:firstLineChars="15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本授权书于</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日签字生效，特此声明。</w:t>
      </w:r>
    </w:p>
    <w:p w14:paraId="3506330A">
      <w:pPr>
        <w:pStyle w:val="29"/>
        <w:pageBreakBefore w:val="0"/>
        <w:kinsoku/>
        <w:topLinePunct w:val="0"/>
        <w:autoSpaceDE/>
        <w:autoSpaceDN/>
        <w:bidi w:val="0"/>
        <w:spacing w:line="360" w:lineRule="auto"/>
        <w:ind w:firstLine="3517" w:firstLineChars="1675"/>
        <w:rPr>
          <w:rFonts w:ascii="宋体" w:eastAsia="宋体"/>
          <w:color w:val="auto"/>
          <w:sz w:val="21"/>
          <w:szCs w:val="21"/>
          <w:highlight w:val="none"/>
        </w:rPr>
      </w:pPr>
    </w:p>
    <w:p w14:paraId="2193D34E">
      <w:pPr>
        <w:pStyle w:val="29"/>
        <w:pageBreakBefore w:val="0"/>
        <w:kinsoku/>
        <w:topLinePunct w:val="0"/>
        <w:autoSpaceDE/>
        <w:autoSpaceDN/>
        <w:bidi w:val="0"/>
        <w:spacing w:line="360" w:lineRule="auto"/>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14:paraId="227E6D65">
      <w:pPr>
        <w:pStyle w:val="29"/>
        <w:pageBreakBefore w:val="0"/>
        <w:kinsoku/>
        <w:topLinePunct w:val="0"/>
        <w:autoSpaceDE/>
        <w:autoSpaceDN/>
        <w:bidi w:val="0"/>
        <w:spacing w:line="360" w:lineRule="auto"/>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r>
        <w:rPr>
          <w:rFonts w:hint="eastAsia" w:ascii="宋体" w:eastAsia="宋体"/>
          <w:color w:val="auto"/>
          <w:sz w:val="21"/>
          <w:szCs w:val="21"/>
          <w:highlight w:val="none"/>
          <w:u w:val="single"/>
        </w:rPr>
        <w:t xml:space="preserve">               </w:t>
      </w:r>
    </w:p>
    <w:p w14:paraId="55605D4E">
      <w:pPr>
        <w:pStyle w:val="29"/>
        <w:pageBreakBefore w:val="0"/>
        <w:kinsoku/>
        <w:topLinePunct w:val="0"/>
        <w:autoSpaceDE/>
        <w:autoSpaceDN/>
        <w:bidi w:val="0"/>
        <w:spacing w:line="360" w:lineRule="auto"/>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14:paraId="6F6F5B1B">
      <w:pPr>
        <w:pStyle w:val="29"/>
        <w:pageBreakBefore w:val="0"/>
        <w:kinsoku/>
        <w:topLinePunct w:val="0"/>
        <w:autoSpaceDE/>
        <w:autoSpaceDN/>
        <w:bidi w:val="0"/>
        <w:spacing w:line="360" w:lineRule="auto"/>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r>
        <w:rPr>
          <w:rFonts w:hint="eastAsia" w:ascii="宋体" w:eastAsia="宋体"/>
          <w:color w:val="auto"/>
          <w:sz w:val="21"/>
          <w:szCs w:val="21"/>
          <w:highlight w:val="none"/>
          <w:u w:val="single"/>
        </w:rPr>
        <w:t xml:space="preserve">   </w:t>
      </w:r>
    </w:p>
    <w:p w14:paraId="2D1D86FB">
      <w:pPr>
        <w:pStyle w:val="29"/>
        <w:pageBreakBefore w:val="0"/>
        <w:kinsoku/>
        <w:topLinePunct w:val="0"/>
        <w:autoSpaceDE/>
        <w:autoSpaceDN/>
        <w:bidi w:val="0"/>
        <w:spacing w:line="360" w:lineRule="auto"/>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14:paraId="6C29134C">
      <w:pPr>
        <w:pStyle w:val="29"/>
        <w:pageBreakBefore w:val="0"/>
        <w:kinsoku/>
        <w:topLinePunct w:val="0"/>
        <w:autoSpaceDE/>
        <w:autoSpaceDN/>
        <w:bidi w:val="0"/>
        <w:spacing w:line="360" w:lineRule="auto"/>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14:paraId="7D8C88DE">
      <w:pPr>
        <w:pStyle w:val="29"/>
        <w:pageBreakBefore w:val="0"/>
        <w:kinsoku/>
        <w:topLinePunct w:val="0"/>
        <w:autoSpaceDE/>
        <w:autoSpaceDN/>
        <w:bidi w:val="0"/>
        <w:spacing w:line="360" w:lineRule="auto"/>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14:paraId="738DC69E">
      <w:pPr>
        <w:pStyle w:val="29"/>
        <w:pageBreakBefore w:val="0"/>
        <w:kinsoku/>
        <w:topLinePunct w:val="0"/>
        <w:autoSpaceDE/>
        <w:autoSpaceDN/>
        <w:bidi w:val="0"/>
        <w:spacing w:line="360" w:lineRule="auto"/>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14:paraId="0ECF0FE8">
      <w:pPr>
        <w:pStyle w:val="29"/>
        <w:pageBreakBefore w:val="0"/>
        <w:kinsoku/>
        <w:topLinePunct w:val="0"/>
        <w:autoSpaceDE/>
        <w:autoSpaceDN/>
        <w:bidi w:val="0"/>
        <w:spacing w:line="360" w:lineRule="auto"/>
        <w:ind w:firstLine="433"/>
        <w:rPr>
          <w:rFonts w:ascii="宋体" w:eastAsia="宋体"/>
          <w:color w:val="auto"/>
          <w:sz w:val="21"/>
          <w:szCs w:val="21"/>
          <w:highlight w:val="none"/>
        </w:rPr>
      </w:pPr>
    </w:p>
    <w:p w14:paraId="5AC2E694">
      <w:pPr>
        <w:pageBreakBefore w:val="0"/>
        <w:kinsoku/>
        <w:topLinePunct w:val="0"/>
        <w:autoSpaceDE/>
        <w:autoSpaceDN/>
        <w:bidi w:val="0"/>
        <w:spacing w:line="360" w:lineRule="auto"/>
        <w:ind w:firstLine="420" w:firstLineChars="200"/>
        <w:rPr>
          <w:rFonts w:eastAsia="宋体"/>
          <w:color w:val="auto"/>
          <w:highlight w:val="none"/>
        </w:rPr>
      </w:pPr>
      <w:r>
        <w:rPr>
          <w:rFonts w:hint="eastAsia" w:ascii="宋体" w:hAnsi="宋体" w:eastAsia="宋体"/>
          <w:color w:val="auto"/>
          <w:sz w:val="21"/>
          <w:szCs w:val="21"/>
          <w:highlight w:val="none"/>
        </w:rPr>
        <w:t>须附：被授权人身份证复印件。</w:t>
      </w:r>
    </w:p>
    <w:tbl>
      <w:tblPr>
        <w:tblStyle w:val="18"/>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3873C20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3657CEDB">
            <w:pPr>
              <w:pStyle w:val="29"/>
              <w:pageBreakBefore w:val="0"/>
              <w:kinsoku/>
              <w:topLinePunct w:val="0"/>
              <w:autoSpaceDE/>
              <w:autoSpaceDN/>
              <w:bidi w:val="0"/>
              <w:spacing w:line="360" w:lineRule="auto"/>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14:paraId="5E08EC6A">
            <w:pPr>
              <w:pStyle w:val="29"/>
              <w:pageBreakBefore w:val="0"/>
              <w:kinsoku/>
              <w:topLinePunct w:val="0"/>
              <w:autoSpaceDE/>
              <w:autoSpaceDN/>
              <w:bidi w:val="0"/>
              <w:spacing w:line="360" w:lineRule="auto"/>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4B936256">
      <w:pPr>
        <w:pageBreakBefore w:val="0"/>
        <w:kinsoku/>
        <w:topLinePunct w:val="0"/>
        <w:autoSpaceDE/>
        <w:autoSpaceDN/>
        <w:bidi w:val="0"/>
        <w:adjustRightInd/>
        <w:snapToGrid/>
        <w:spacing w:line="360" w:lineRule="auto"/>
        <w:rPr>
          <w:color w:val="auto"/>
          <w:highlight w:val="none"/>
        </w:rPr>
      </w:pPr>
      <w:bookmarkStart w:id="97" w:name="_Toc22486"/>
      <w:r>
        <w:rPr>
          <w:rFonts w:hint="eastAsia" w:ascii="宋体" w:hAnsi="宋体" w:eastAsia="宋体"/>
          <w:color w:val="auto"/>
          <w:sz w:val="21"/>
          <w:szCs w:val="21"/>
          <w:highlight w:val="none"/>
        </w:rPr>
        <w:br w:type="page"/>
      </w:r>
    </w:p>
    <w:p w14:paraId="4A55676A">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98" w:name="_Toc24266"/>
      <w:r>
        <w:rPr>
          <w:rFonts w:hint="eastAsia" w:ascii="宋体" w:hAnsi="宋体" w:eastAsia="宋体"/>
          <w:color w:val="auto"/>
          <w:sz w:val="21"/>
          <w:szCs w:val="21"/>
          <w:highlight w:val="none"/>
        </w:rPr>
        <w:t>附件7.资格申明</w:t>
      </w:r>
      <w:bookmarkEnd w:id="98"/>
    </w:p>
    <w:p w14:paraId="7B8B3873">
      <w:pPr>
        <w:pageBreakBefore w:val="0"/>
        <w:kinsoku/>
        <w:topLinePunct w:val="0"/>
        <w:autoSpaceDE/>
        <w:autoSpaceDN/>
        <w:bidi w:val="0"/>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资格申明</w:t>
      </w:r>
    </w:p>
    <w:p w14:paraId="54C7E661">
      <w:pPr>
        <w:pStyle w:val="29"/>
        <w:pageBreakBefore w:val="0"/>
        <w:kinsoku/>
        <w:topLinePunct w:val="0"/>
        <w:autoSpaceDE/>
        <w:autoSpaceDN/>
        <w:bidi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三方诚信招标有限公司东莞分公司：</w:t>
      </w:r>
    </w:p>
    <w:p w14:paraId="77104979">
      <w:pPr>
        <w:pageBreakBefore w:val="0"/>
        <w:kinsoku/>
        <w:topLinePunct w:val="0"/>
        <w:autoSpaceDE/>
        <w:autoSpaceDN/>
        <w:bidi w:val="0"/>
        <w:spacing w:after="0" w:line="360" w:lineRule="auto"/>
        <w:ind w:firstLine="420" w:firstLineChars="200"/>
        <w:rPr>
          <w:rFonts w:ascii="宋体" w:hAnsi="宋体" w:eastAsia="宋体"/>
          <w:color w:val="auto"/>
          <w:sz w:val="21"/>
          <w:szCs w:val="21"/>
          <w:highlight w:val="none"/>
        </w:rPr>
      </w:pPr>
    </w:p>
    <w:p w14:paraId="7325FECC">
      <w:pPr>
        <w:pageBreakBefore w:val="0"/>
        <w:kinsoku/>
        <w:topLinePunct w:val="0"/>
        <w:autoSpaceDE/>
        <w:autoSpaceDN/>
        <w:bidi w:val="0"/>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w:t>
      </w:r>
      <w:r>
        <w:rPr>
          <w:rFonts w:ascii="宋体" w:hAnsi="宋体" w:eastAsia="宋体"/>
          <w:color w:val="auto"/>
          <w:sz w:val="21"/>
          <w:szCs w:val="21"/>
          <w:highlight w:val="none"/>
        </w:rPr>
        <w:t>愿响应</w:t>
      </w:r>
      <w:r>
        <w:rPr>
          <w:rFonts w:hint="eastAsia" w:ascii="宋体" w:hAnsi="宋体" w:eastAsia="宋体"/>
          <w:color w:val="auto"/>
          <w:sz w:val="21"/>
          <w:szCs w:val="21"/>
          <w:highlight w:val="none"/>
        </w:rPr>
        <w:t>贵</w:t>
      </w:r>
      <w:r>
        <w:rPr>
          <w:rFonts w:ascii="宋体" w:hAnsi="宋体" w:eastAsia="宋体"/>
          <w:color w:val="auto"/>
          <w:sz w:val="21"/>
          <w:szCs w:val="21"/>
          <w:highlight w:val="none"/>
        </w:rPr>
        <w:t>方</w:t>
      </w:r>
      <w:r>
        <w:rPr>
          <w:rFonts w:hint="eastAsia" w:ascii="宋体" w:hAnsi="宋体" w:eastAsia="宋体"/>
          <w:color w:val="auto"/>
          <w:sz w:val="21"/>
          <w:szCs w:val="21"/>
          <w:highlight w:val="none"/>
        </w:rPr>
        <w:t>关于（项目名称）</w:t>
      </w:r>
      <w:r>
        <w:rPr>
          <w:rFonts w:ascii="宋体" w:hAnsi="宋体" w:eastAsia="宋体"/>
          <w:color w:val="auto"/>
          <w:sz w:val="21"/>
          <w:szCs w:val="21"/>
          <w:highlight w:val="none"/>
        </w:rPr>
        <w:t>（</w:t>
      </w:r>
      <w:r>
        <w:rPr>
          <w:rFonts w:hint="eastAsia" w:ascii="宋体" w:hAnsi="宋体" w:eastAsia="宋体"/>
          <w:color w:val="auto"/>
          <w:sz w:val="21"/>
          <w:szCs w:val="21"/>
          <w:highlight w:val="none"/>
        </w:rPr>
        <w:t>采购项目编号</w:t>
      </w:r>
      <w:r>
        <w:rPr>
          <w:rFonts w:ascii="宋体" w:hAnsi="宋体" w:eastAsia="宋体"/>
          <w:color w:val="auto"/>
          <w:sz w:val="21"/>
          <w:szCs w:val="21"/>
          <w:highlight w:val="none"/>
        </w:rPr>
        <w:t>）</w:t>
      </w:r>
      <w:r>
        <w:rPr>
          <w:rFonts w:hint="eastAsia" w:ascii="宋体" w:hAnsi="宋体" w:eastAsia="宋体"/>
          <w:color w:val="auto"/>
          <w:sz w:val="21"/>
          <w:szCs w:val="21"/>
          <w:highlight w:val="none"/>
        </w:rPr>
        <w:t>的</w:t>
      </w:r>
      <w:r>
        <w:rPr>
          <w:rFonts w:ascii="宋体" w:hAnsi="宋体" w:eastAsia="宋体"/>
          <w:color w:val="auto"/>
          <w:sz w:val="21"/>
          <w:szCs w:val="21"/>
          <w:highlight w:val="none"/>
        </w:rPr>
        <w:t>投标邀请，参与投标，提供用户需求书中规定的</w:t>
      </w:r>
      <w:r>
        <w:rPr>
          <w:rFonts w:hint="eastAsia" w:ascii="宋体" w:hAnsi="宋体" w:eastAsia="宋体"/>
          <w:color w:val="auto"/>
          <w:sz w:val="21"/>
          <w:szCs w:val="21"/>
          <w:highlight w:val="none"/>
        </w:rPr>
        <w:t>货物及相关服务</w:t>
      </w:r>
      <w:r>
        <w:rPr>
          <w:rFonts w:ascii="宋体" w:hAnsi="宋体" w:eastAsia="宋体"/>
          <w:color w:val="auto"/>
          <w:sz w:val="21"/>
          <w:szCs w:val="21"/>
          <w:highlight w:val="none"/>
        </w:rPr>
        <w:t>，并按招标文件要求提交所附资格文件且声明和保证如下：</w:t>
      </w:r>
    </w:p>
    <w:p w14:paraId="317C5A08">
      <w:pPr>
        <w:pageBreakBefore w:val="0"/>
        <w:kinsoku/>
        <w:topLinePunct w:val="0"/>
        <w:autoSpaceDE/>
        <w:autoSpaceDN/>
        <w:bidi w:val="0"/>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我方具备《中华人民共和国政府采购法》第二十二条资格条件，已清楚招标文件所有要求及有关规定；并承诺参加本次政府采购活动中，如有违法、违规、弄虚作假行为，所造成的损失、不良后果及法律责任，一律由我方承担；</w:t>
      </w:r>
    </w:p>
    <w:p w14:paraId="4733234B">
      <w:pPr>
        <w:pageBreakBefore w:val="0"/>
        <w:kinsoku/>
        <w:topLinePunct w:val="0"/>
        <w:autoSpaceDE/>
        <w:autoSpaceDN/>
        <w:bidi w:val="0"/>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w:t>
      </w:r>
      <w:r>
        <w:rPr>
          <w:rFonts w:ascii="宋体" w:hAnsi="宋体" w:eastAsia="宋体"/>
          <w:color w:val="auto"/>
          <w:sz w:val="21"/>
          <w:szCs w:val="21"/>
          <w:highlight w:val="none"/>
        </w:rPr>
        <w:t>我方依法注册，在法律上、财务上和运作上完全独立于（采购人名称）（采购人）及</w:t>
      </w:r>
      <w:r>
        <w:rPr>
          <w:rFonts w:hint="eastAsia" w:ascii="宋体" w:hAnsi="宋体" w:eastAsia="宋体"/>
          <w:color w:val="auto"/>
          <w:sz w:val="21"/>
          <w:szCs w:val="21"/>
          <w:highlight w:val="none"/>
        </w:rPr>
        <w:t>三方诚信招标有限公司东莞分公司</w:t>
      </w:r>
      <w:r>
        <w:rPr>
          <w:rFonts w:ascii="宋体" w:hAnsi="宋体" w:eastAsia="宋体"/>
          <w:color w:val="auto"/>
          <w:sz w:val="21"/>
          <w:szCs w:val="21"/>
          <w:highlight w:val="none"/>
        </w:rPr>
        <w:t>（采购代理机构）</w:t>
      </w:r>
      <w:r>
        <w:rPr>
          <w:rFonts w:hint="eastAsia" w:ascii="宋体" w:hAnsi="宋体" w:eastAsia="宋体"/>
          <w:color w:val="auto"/>
          <w:sz w:val="21"/>
          <w:szCs w:val="21"/>
          <w:highlight w:val="none"/>
        </w:rPr>
        <w:t>。</w:t>
      </w:r>
    </w:p>
    <w:p w14:paraId="67C38B13">
      <w:pPr>
        <w:pStyle w:val="29"/>
        <w:pageBreakBefore w:val="0"/>
        <w:kinsoku/>
        <w:topLinePunct w:val="0"/>
        <w:autoSpaceDE/>
        <w:autoSpaceDN/>
        <w:bidi w:val="0"/>
        <w:spacing w:line="360" w:lineRule="auto"/>
        <w:ind w:firstLine="3517" w:firstLineChars="1675"/>
        <w:rPr>
          <w:rFonts w:ascii="宋体" w:eastAsia="宋体"/>
          <w:color w:val="auto"/>
          <w:sz w:val="21"/>
          <w:szCs w:val="21"/>
          <w:highlight w:val="none"/>
        </w:rPr>
      </w:pPr>
    </w:p>
    <w:p w14:paraId="6521C46C">
      <w:pPr>
        <w:pStyle w:val="29"/>
        <w:pageBreakBefore w:val="0"/>
        <w:kinsoku/>
        <w:topLinePunct w:val="0"/>
        <w:autoSpaceDE/>
        <w:autoSpaceDN/>
        <w:bidi w:val="0"/>
        <w:spacing w:line="360" w:lineRule="auto"/>
        <w:ind w:firstLine="3517" w:firstLineChars="1675"/>
        <w:rPr>
          <w:rFonts w:ascii="宋体" w:eastAsia="宋体"/>
          <w:color w:val="auto"/>
          <w:sz w:val="21"/>
          <w:szCs w:val="21"/>
          <w:highlight w:val="none"/>
        </w:rPr>
      </w:pPr>
    </w:p>
    <w:p w14:paraId="116AAB38">
      <w:pPr>
        <w:pStyle w:val="29"/>
        <w:pageBreakBefore w:val="0"/>
        <w:kinsoku/>
        <w:topLinePunct w:val="0"/>
        <w:autoSpaceDE/>
        <w:autoSpaceDN/>
        <w:bidi w:val="0"/>
        <w:spacing w:line="360" w:lineRule="auto"/>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14:paraId="03643DB4">
      <w:pPr>
        <w:pStyle w:val="29"/>
        <w:pageBreakBefore w:val="0"/>
        <w:kinsoku/>
        <w:topLinePunct w:val="0"/>
        <w:autoSpaceDE/>
        <w:autoSpaceDN/>
        <w:bidi w:val="0"/>
        <w:spacing w:line="360" w:lineRule="auto"/>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 xml:space="preserve">                        </w:t>
      </w:r>
    </w:p>
    <w:p w14:paraId="06C9D5E7">
      <w:pPr>
        <w:pStyle w:val="29"/>
        <w:pageBreakBefore w:val="0"/>
        <w:kinsoku/>
        <w:topLinePunct w:val="0"/>
        <w:autoSpaceDE/>
        <w:autoSpaceDN/>
        <w:bidi w:val="0"/>
        <w:spacing w:line="360" w:lineRule="auto"/>
        <w:ind w:firstLine="433"/>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14:paraId="3D60734E">
      <w:pPr>
        <w:pStyle w:val="29"/>
        <w:pageBreakBefore w:val="0"/>
        <w:kinsoku/>
        <w:topLinePunct w:val="0"/>
        <w:autoSpaceDE/>
        <w:autoSpaceDN/>
        <w:bidi w:val="0"/>
        <w:spacing w:line="360" w:lineRule="auto"/>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14:paraId="0BAD6AD6">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99" w:name="_Toc22915"/>
      <w:r>
        <w:rPr>
          <w:rFonts w:hint="eastAsia" w:ascii="宋体" w:hAnsi="宋体" w:eastAsia="宋体"/>
          <w:color w:val="auto"/>
          <w:sz w:val="21"/>
          <w:szCs w:val="21"/>
          <w:highlight w:val="none"/>
        </w:rPr>
        <w:t>附件8.营业执照</w:t>
      </w:r>
      <w:bookmarkEnd w:id="99"/>
    </w:p>
    <w:p w14:paraId="078E9492">
      <w:pPr>
        <w:pageBreakBefore w:val="0"/>
        <w:kinsoku/>
        <w:topLinePunct w:val="0"/>
        <w:autoSpaceDE/>
        <w:autoSpaceDN/>
        <w:bidi w:val="0"/>
        <w:spacing w:line="360" w:lineRule="auto"/>
        <w:jc w:val="center"/>
        <w:rPr>
          <w:rFonts w:ascii="黑体" w:eastAsia="黑体"/>
          <w:color w:val="auto"/>
          <w:sz w:val="28"/>
          <w:szCs w:val="28"/>
          <w:highlight w:val="none"/>
        </w:rPr>
      </w:pPr>
      <w:bookmarkStart w:id="100" w:name="_Toc5919"/>
      <w:bookmarkStart w:id="101" w:name="_Toc1511"/>
      <w:bookmarkStart w:id="102" w:name="_Toc24210"/>
      <w:bookmarkStart w:id="103" w:name="_Toc17470"/>
      <w:bookmarkStart w:id="104" w:name="_Toc4926"/>
      <w:r>
        <w:rPr>
          <w:rFonts w:hint="eastAsia" w:ascii="黑体" w:eastAsia="黑体"/>
          <w:color w:val="auto"/>
          <w:sz w:val="28"/>
          <w:szCs w:val="28"/>
          <w:highlight w:val="none"/>
        </w:rPr>
        <w:t>营业执照</w:t>
      </w:r>
      <w:bookmarkEnd w:id="100"/>
      <w:bookmarkEnd w:id="101"/>
      <w:bookmarkEnd w:id="102"/>
      <w:bookmarkEnd w:id="103"/>
      <w:bookmarkEnd w:id="104"/>
    </w:p>
    <w:p w14:paraId="6D2776B9">
      <w:pPr>
        <w:pageBreakBefore w:val="0"/>
        <w:kinsoku/>
        <w:topLinePunct w:val="0"/>
        <w:autoSpaceDE/>
        <w:autoSpaceDN/>
        <w:bidi w:val="0"/>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br w:type="page"/>
      </w:r>
    </w:p>
    <w:p w14:paraId="0B19D2B3">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105" w:name="_Toc16457"/>
      <w:r>
        <w:rPr>
          <w:rFonts w:hint="eastAsia" w:ascii="宋体" w:hAnsi="宋体" w:eastAsia="宋体"/>
          <w:color w:val="auto"/>
          <w:sz w:val="21"/>
          <w:szCs w:val="21"/>
          <w:highlight w:val="none"/>
        </w:rPr>
        <w:t>附件9.相关资质证明文件</w:t>
      </w:r>
      <w:bookmarkEnd w:id="105"/>
    </w:p>
    <w:p w14:paraId="41648BD3">
      <w:pPr>
        <w:pageBreakBefore w:val="0"/>
        <w:kinsoku/>
        <w:topLinePunct w:val="0"/>
        <w:autoSpaceDE/>
        <w:autoSpaceDN/>
        <w:bidi w:val="0"/>
        <w:spacing w:line="360" w:lineRule="auto"/>
        <w:rPr>
          <w:color w:val="auto"/>
          <w:highlight w:val="none"/>
        </w:rPr>
      </w:pPr>
    </w:p>
    <w:p w14:paraId="6D342897">
      <w:pPr>
        <w:pageBreakBefore w:val="0"/>
        <w:kinsoku/>
        <w:topLinePunct w:val="0"/>
        <w:autoSpaceDE/>
        <w:autoSpaceDN/>
        <w:bidi w:val="0"/>
        <w:spacing w:line="360" w:lineRule="auto"/>
        <w:jc w:val="center"/>
        <w:rPr>
          <w:rFonts w:ascii="黑体" w:eastAsia="黑体"/>
          <w:color w:val="auto"/>
          <w:sz w:val="28"/>
          <w:szCs w:val="28"/>
          <w:highlight w:val="none"/>
        </w:rPr>
      </w:pPr>
      <w:bookmarkStart w:id="106" w:name="_Toc13458"/>
      <w:bookmarkStart w:id="107" w:name="_Toc16698"/>
      <w:bookmarkStart w:id="108" w:name="_Toc30307"/>
      <w:bookmarkStart w:id="109" w:name="_Toc9592"/>
      <w:bookmarkStart w:id="110" w:name="_Toc16233"/>
      <w:r>
        <w:rPr>
          <w:rFonts w:hint="eastAsia" w:ascii="黑体" w:eastAsia="黑体"/>
          <w:color w:val="auto"/>
          <w:sz w:val="28"/>
          <w:szCs w:val="28"/>
          <w:highlight w:val="none"/>
        </w:rPr>
        <w:t>相关资质证明文件</w:t>
      </w:r>
      <w:bookmarkEnd w:id="97"/>
      <w:bookmarkEnd w:id="106"/>
      <w:bookmarkEnd w:id="107"/>
      <w:bookmarkEnd w:id="108"/>
      <w:bookmarkEnd w:id="109"/>
      <w:bookmarkEnd w:id="110"/>
    </w:p>
    <w:p w14:paraId="1D40D464">
      <w:pPr>
        <w:pageBreakBefore w:val="0"/>
        <w:kinsoku/>
        <w:topLinePunct w:val="0"/>
        <w:autoSpaceDE/>
        <w:autoSpaceDN/>
        <w:bidi w:val="0"/>
        <w:spacing w:line="360" w:lineRule="auto"/>
        <w:jc w:val="both"/>
        <w:rPr>
          <w:color w:val="auto"/>
          <w:highlight w:val="none"/>
        </w:rPr>
      </w:pPr>
      <w:r>
        <w:rPr>
          <w:rFonts w:hint="eastAsia"/>
          <w:color w:val="auto"/>
          <w:highlight w:val="none"/>
        </w:rPr>
        <w:br w:type="page"/>
      </w:r>
    </w:p>
    <w:p w14:paraId="14FD3A76">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111" w:name="_Toc29591"/>
      <w:r>
        <w:rPr>
          <w:rFonts w:hint="eastAsia" w:ascii="宋体" w:hAnsi="宋体" w:eastAsia="宋体"/>
          <w:color w:val="auto"/>
          <w:sz w:val="21"/>
          <w:szCs w:val="21"/>
          <w:highlight w:val="none"/>
        </w:rPr>
        <w:t>附件10. 商务条款偏离表格式</w:t>
      </w:r>
      <w:bookmarkEnd w:id="111"/>
    </w:p>
    <w:p w14:paraId="5D5699B4">
      <w:pPr>
        <w:pageBreakBefore w:val="0"/>
        <w:kinsoku/>
        <w:topLinePunct w:val="0"/>
        <w:autoSpaceDE/>
        <w:autoSpaceDN/>
        <w:bidi w:val="0"/>
        <w:spacing w:line="360" w:lineRule="auto"/>
        <w:jc w:val="center"/>
        <w:rPr>
          <w:rFonts w:ascii="黑体" w:eastAsia="黑体"/>
          <w:color w:val="auto"/>
          <w:sz w:val="28"/>
          <w:szCs w:val="28"/>
          <w:highlight w:val="none"/>
        </w:rPr>
      </w:pPr>
    </w:p>
    <w:p w14:paraId="59D70026">
      <w:pPr>
        <w:pageBreakBefore w:val="0"/>
        <w:kinsoku/>
        <w:topLinePunct w:val="0"/>
        <w:autoSpaceDE/>
        <w:autoSpaceDN/>
        <w:bidi w:val="0"/>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商务条款偏离表</w:t>
      </w:r>
    </w:p>
    <w:tbl>
      <w:tblPr>
        <w:tblStyle w:val="18"/>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619B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1008" w:type="dxa"/>
            <w:vAlign w:val="center"/>
          </w:tcPr>
          <w:p w14:paraId="2C25BA30">
            <w:pPr>
              <w:pageBreakBefore w:val="0"/>
              <w:kinsoku/>
              <w:topLinePunct w:val="0"/>
              <w:autoSpaceDE/>
              <w:autoSpaceDN/>
              <w:bidi w:val="0"/>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620" w:type="dxa"/>
            <w:vAlign w:val="center"/>
          </w:tcPr>
          <w:p w14:paraId="3CB23768">
            <w:pPr>
              <w:pageBreakBefore w:val="0"/>
              <w:kinsoku/>
              <w:topLinePunct w:val="0"/>
              <w:autoSpaceDE/>
              <w:autoSpaceDN/>
              <w:bidi w:val="0"/>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商务条款</w:t>
            </w:r>
            <w:r>
              <w:rPr>
                <w:rFonts w:hint="eastAsia" w:ascii="宋体" w:hAnsi="宋体" w:eastAsia="宋体"/>
                <w:color w:val="auto"/>
                <w:sz w:val="21"/>
                <w:szCs w:val="21"/>
                <w:highlight w:val="none"/>
              </w:rPr>
              <w:t>名称</w:t>
            </w:r>
          </w:p>
        </w:tc>
        <w:tc>
          <w:tcPr>
            <w:tcW w:w="1360" w:type="dxa"/>
            <w:vAlign w:val="center"/>
          </w:tcPr>
          <w:p w14:paraId="3936AAE9">
            <w:pPr>
              <w:pageBreakBefore w:val="0"/>
              <w:kinsoku/>
              <w:topLinePunct w:val="0"/>
              <w:autoSpaceDE/>
              <w:autoSpaceDN/>
              <w:bidi w:val="0"/>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招标要求</w:t>
            </w:r>
          </w:p>
        </w:tc>
        <w:tc>
          <w:tcPr>
            <w:tcW w:w="1587" w:type="dxa"/>
            <w:vAlign w:val="center"/>
          </w:tcPr>
          <w:p w14:paraId="1BC7FD96">
            <w:pPr>
              <w:pageBreakBefore w:val="0"/>
              <w:kinsoku/>
              <w:topLinePunct w:val="0"/>
              <w:autoSpaceDE/>
              <w:autoSpaceDN/>
              <w:bidi w:val="0"/>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投标实际响应</w:t>
            </w:r>
          </w:p>
        </w:tc>
        <w:tc>
          <w:tcPr>
            <w:tcW w:w="1133" w:type="dxa"/>
            <w:vAlign w:val="center"/>
          </w:tcPr>
          <w:p w14:paraId="77886AEB">
            <w:pPr>
              <w:pageBreakBefore w:val="0"/>
              <w:kinsoku/>
              <w:topLinePunct w:val="0"/>
              <w:autoSpaceDE/>
              <w:autoSpaceDN/>
              <w:bidi w:val="0"/>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是否偏离</w:t>
            </w:r>
          </w:p>
        </w:tc>
        <w:tc>
          <w:tcPr>
            <w:tcW w:w="1730" w:type="dxa"/>
            <w:vAlign w:val="center"/>
          </w:tcPr>
          <w:p w14:paraId="11AFBD81">
            <w:pPr>
              <w:pageBreakBefore w:val="0"/>
              <w:kinsoku/>
              <w:topLinePunct w:val="0"/>
              <w:autoSpaceDE/>
              <w:autoSpaceDN/>
              <w:bidi w:val="0"/>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14:paraId="7E6F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2A74B2F">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0" w:type="dxa"/>
            <w:vAlign w:val="center"/>
          </w:tcPr>
          <w:p w14:paraId="2C035B3F">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360" w:type="dxa"/>
            <w:vAlign w:val="center"/>
          </w:tcPr>
          <w:p w14:paraId="32CA84DB">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87" w:type="dxa"/>
            <w:vAlign w:val="center"/>
          </w:tcPr>
          <w:p w14:paraId="0A38B6D3">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133" w:type="dxa"/>
            <w:vAlign w:val="center"/>
          </w:tcPr>
          <w:p w14:paraId="65E8B22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730" w:type="dxa"/>
            <w:vAlign w:val="center"/>
          </w:tcPr>
          <w:p w14:paraId="1B4249E1">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405F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9D1996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0" w:type="dxa"/>
            <w:vAlign w:val="center"/>
          </w:tcPr>
          <w:p w14:paraId="5928CF8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360" w:type="dxa"/>
            <w:vAlign w:val="center"/>
          </w:tcPr>
          <w:p w14:paraId="14E744BB">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87" w:type="dxa"/>
            <w:vAlign w:val="center"/>
          </w:tcPr>
          <w:p w14:paraId="60CFA68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133" w:type="dxa"/>
            <w:vAlign w:val="center"/>
          </w:tcPr>
          <w:p w14:paraId="2CE613C4">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730" w:type="dxa"/>
            <w:vAlign w:val="center"/>
          </w:tcPr>
          <w:p w14:paraId="2D883D74">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62A1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169CD5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0" w:type="dxa"/>
            <w:vAlign w:val="center"/>
          </w:tcPr>
          <w:p w14:paraId="01798F56">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360" w:type="dxa"/>
            <w:vAlign w:val="center"/>
          </w:tcPr>
          <w:p w14:paraId="71A6B60C">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87" w:type="dxa"/>
            <w:vAlign w:val="center"/>
          </w:tcPr>
          <w:p w14:paraId="4F32701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133" w:type="dxa"/>
            <w:vAlign w:val="center"/>
          </w:tcPr>
          <w:p w14:paraId="11D54C1E">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730" w:type="dxa"/>
            <w:vAlign w:val="center"/>
          </w:tcPr>
          <w:p w14:paraId="21E2211F">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3155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829EB1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0" w:type="dxa"/>
            <w:vAlign w:val="center"/>
          </w:tcPr>
          <w:p w14:paraId="47732316">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360" w:type="dxa"/>
            <w:vAlign w:val="center"/>
          </w:tcPr>
          <w:p w14:paraId="09455DE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87" w:type="dxa"/>
            <w:vAlign w:val="center"/>
          </w:tcPr>
          <w:p w14:paraId="1A29D7F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133" w:type="dxa"/>
            <w:vAlign w:val="center"/>
          </w:tcPr>
          <w:p w14:paraId="23FBA8FF">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730" w:type="dxa"/>
            <w:vAlign w:val="center"/>
          </w:tcPr>
          <w:p w14:paraId="725C31B6">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79D0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C6FFED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0" w:type="dxa"/>
            <w:vAlign w:val="center"/>
          </w:tcPr>
          <w:p w14:paraId="0D0034DE">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360" w:type="dxa"/>
            <w:vAlign w:val="center"/>
          </w:tcPr>
          <w:p w14:paraId="74F5BBC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87" w:type="dxa"/>
            <w:vAlign w:val="center"/>
          </w:tcPr>
          <w:p w14:paraId="22F7B2C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133" w:type="dxa"/>
            <w:vAlign w:val="center"/>
          </w:tcPr>
          <w:p w14:paraId="016A0E4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730" w:type="dxa"/>
            <w:vAlign w:val="center"/>
          </w:tcPr>
          <w:p w14:paraId="0A0E2FBF">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36E5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E67A52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0" w:type="dxa"/>
            <w:vAlign w:val="center"/>
          </w:tcPr>
          <w:p w14:paraId="201D019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360" w:type="dxa"/>
            <w:vAlign w:val="center"/>
          </w:tcPr>
          <w:p w14:paraId="4FE9FA1F">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87" w:type="dxa"/>
            <w:vAlign w:val="center"/>
          </w:tcPr>
          <w:p w14:paraId="504AA9BB">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133" w:type="dxa"/>
            <w:vAlign w:val="center"/>
          </w:tcPr>
          <w:p w14:paraId="53AC27E2">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730" w:type="dxa"/>
            <w:vAlign w:val="center"/>
          </w:tcPr>
          <w:p w14:paraId="7942FB92">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1E4D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EC9AFB3">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0" w:type="dxa"/>
            <w:vAlign w:val="center"/>
          </w:tcPr>
          <w:p w14:paraId="5016AD6C">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360" w:type="dxa"/>
            <w:vAlign w:val="center"/>
          </w:tcPr>
          <w:p w14:paraId="36A29C3C">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87" w:type="dxa"/>
            <w:vAlign w:val="center"/>
          </w:tcPr>
          <w:p w14:paraId="55F1CB1F">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133" w:type="dxa"/>
            <w:vAlign w:val="center"/>
          </w:tcPr>
          <w:p w14:paraId="4BF3C78E">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730" w:type="dxa"/>
            <w:vAlign w:val="center"/>
          </w:tcPr>
          <w:p w14:paraId="7094809E">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3F4C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5484D7C">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0" w:type="dxa"/>
            <w:vAlign w:val="center"/>
          </w:tcPr>
          <w:p w14:paraId="677BC7B5">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360" w:type="dxa"/>
            <w:vAlign w:val="center"/>
          </w:tcPr>
          <w:p w14:paraId="5D6ADF6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87" w:type="dxa"/>
            <w:vAlign w:val="center"/>
          </w:tcPr>
          <w:p w14:paraId="00A7021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133" w:type="dxa"/>
            <w:vAlign w:val="center"/>
          </w:tcPr>
          <w:p w14:paraId="7BE94E2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730" w:type="dxa"/>
            <w:vAlign w:val="center"/>
          </w:tcPr>
          <w:p w14:paraId="48E20C35">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7D5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2B73D3F">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0" w:type="dxa"/>
            <w:vAlign w:val="center"/>
          </w:tcPr>
          <w:p w14:paraId="4625B8D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360" w:type="dxa"/>
            <w:vAlign w:val="center"/>
          </w:tcPr>
          <w:p w14:paraId="7754770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87" w:type="dxa"/>
            <w:vAlign w:val="center"/>
          </w:tcPr>
          <w:p w14:paraId="4BABD1BA">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133" w:type="dxa"/>
            <w:vAlign w:val="center"/>
          </w:tcPr>
          <w:p w14:paraId="661FE78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730" w:type="dxa"/>
            <w:vAlign w:val="center"/>
          </w:tcPr>
          <w:p w14:paraId="17E2C8BF">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6226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0BDCD1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0" w:type="dxa"/>
            <w:vAlign w:val="center"/>
          </w:tcPr>
          <w:p w14:paraId="0FD3817B">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360" w:type="dxa"/>
            <w:vAlign w:val="center"/>
          </w:tcPr>
          <w:p w14:paraId="49A9090C">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87" w:type="dxa"/>
            <w:vAlign w:val="center"/>
          </w:tcPr>
          <w:p w14:paraId="3500227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133" w:type="dxa"/>
            <w:vAlign w:val="center"/>
          </w:tcPr>
          <w:p w14:paraId="456CB6F5">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730" w:type="dxa"/>
            <w:vAlign w:val="center"/>
          </w:tcPr>
          <w:p w14:paraId="147F42B0">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bl>
    <w:p w14:paraId="745F99EA">
      <w:pPr>
        <w:pageBreakBefore w:val="0"/>
        <w:kinsoku/>
        <w:topLinePunct w:val="0"/>
        <w:autoSpaceDE/>
        <w:autoSpaceDN/>
        <w:bidi w:val="0"/>
        <w:spacing w:line="360" w:lineRule="auto"/>
        <w:rPr>
          <w:rFonts w:ascii="宋体" w:hAnsi="宋体" w:eastAsia="宋体"/>
          <w:color w:val="auto"/>
          <w:sz w:val="21"/>
          <w:szCs w:val="21"/>
          <w:highlight w:val="none"/>
        </w:rPr>
      </w:pPr>
    </w:p>
    <w:p w14:paraId="43AA38D2">
      <w:pPr>
        <w:pageBreakBefore w:val="0"/>
        <w:kinsoku/>
        <w:topLinePunct w:val="0"/>
        <w:autoSpaceDE/>
        <w:autoSpaceDN/>
        <w:bidi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14:paraId="2BA81C3B">
      <w:pPr>
        <w:pageBreakBefore w:val="0"/>
        <w:kinsoku/>
        <w:topLinePunct w:val="0"/>
        <w:autoSpaceDE/>
        <w:autoSpaceDN/>
        <w:bidi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47750306">
      <w:pPr>
        <w:pageBreakBefore w:val="0"/>
        <w:kinsoku/>
        <w:topLinePunct w:val="0"/>
        <w:autoSpaceDE/>
        <w:autoSpaceDN/>
        <w:bidi w:val="0"/>
        <w:spacing w:line="360" w:lineRule="auto"/>
        <w:rPr>
          <w:rFonts w:ascii="宋体" w:hAnsi="宋体" w:eastAsia="宋体"/>
          <w:color w:val="auto"/>
          <w:sz w:val="21"/>
          <w:szCs w:val="21"/>
          <w:highlight w:val="none"/>
        </w:rPr>
      </w:pPr>
    </w:p>
    <w:p w14:paraId="01C58675">
      <w:pPr>
        <w:pageBreakBefore w:val="0"/>
        <w:kinsoku/>
        <w:topLinePunct w:val="0"/>
        <w:autoSpaceDE/>
        <w:autoSpaceDN/>
        <w:bidi w:val="0"/>
        <w:spacing w:line="360" w:lineRule="auto"/>
        <w:ind w:left="718" w:hanging="718" w:hangingChars="342"/>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14:paraId="47A10015">
      <w:pPr>
        <w:pageBreakBefore w:val="0"/>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1、投标人应对照招标文件商务要求，说明已对招标文件的商务内容做出了实质性的响应。</w:t>
      </w:r>
    </w:p>
    <w:p w14:paraId="14E91671">
      <w:pPr>
        <w:pageBreakBefore w:val="0"/>
        <w:kinsoku/>
        <w:topLinePunct w:val="0"/>
        <w:autoSpaceDE/>
        <w:autoSpaceDN/>
        <w:bidi w:val="0"/>
        <w:spacing w:after="0" w:line="360" w:lineRule="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2、商务条款</w:t>
      </w:r>
      <w:r>
        <w:rPr>
          <w:rFonts w:hint="eastAsia" w:ascii="宋体" w:hAnsi="宋体" w:eastAsia="宋体"/>
          <w:color w:val="auto"/>
          <w:sz w:val="21"/>
          <w:szCs w:val="21"/>
          <w:highlight w:val="none"/>
          <w:lang w:eastAsia="zh-CN"/>
        </w:rPr>
        <w:t>根据“第三部分</w:t>
      </w:r>
      <w:r>
        <w:rPr>
          <w:rFonts w:hint="eastAsia" w:ascii="宋体" w:hAnsi="宋体" w:eastAsia="宋体"/>
          <w:color w:val="auto"/>
          <w:sz w:val="21"/>
          <w:szCs w:val="21"/>
          <w:highlight w:val="none"/>
          <w:lang w:val="en-US" w:eastAsia="zh-CN"/>
        </w:rPr>
        <w:t xml:space="preserve"> 用户需求书</w:t>
      </w:r>
      <w:r>
        <w:rPr>
          <w:rFonts w:hint="eastAsia" w:ascii="宋体" w:hAnsi="宋体" w:eastAsia="宋体"/>
          <w:color w:val="auto"/>
          <w:sz w:val="21"/>
          <w:szCs w:val="21"/>
          <w:highlight w:val="none"/>
          <w:lang w:eastAsia="zh-CN"/>
        </w:rPr>
        <w:t>”的“商务需求”填写。</w:t>
      </w:r>
    </w:p>
    <w:p w14:paraId="2674026A">
      <w:pPr>
        <w:pageBreakBefore w:val="0"/>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eastAsia="zh-CN"/>
        </w:rPr>
        <w:t>若文件有具体要求的，应按照文件要求进行逐一响应，并提供相应的证明材料</w:t>
      </w:r>
      <w:r>
        <w:rPr>
          <w:rFonts w:hint="eastAsia" w:ascii="宋体" w:hAnsi="宋体" w:eastAsia="宋体"/>
          <w:color w:val="auto"/>
          <w:sz w:val="21"/>
          <w:szCs w:val="21"/>
          <w:highlight w:val="none"/>
        </w:rPr>
        <w:t>。</w:t>
      </w:r>
    </w:p>
    <w:p w14:paraId="672734D2">
      <w:pPr>
        <w:pageBreakBefore w:val="0"/>
        <w:kinsoku/>
        <w:topLinePunct w:val="0"/>
        <w:autoSpaceDE/>
        <w:autoSpaceDN/>
        <w:bidi w:val="0"/>
        <w:adjustRightInd/>
        <w:snapToGrid/>
        <w:spacing w:line="360" w:lineRule="auto"/>
        <w:rPr>
          <w:color w:val="auto"/>
          <w:highlight w:val="none"/>
        </w:rPr>
      </w:pPr>
    </w:p>
    <w:p w14:paraId="6E92164E">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112" w:name="_Toc7552"/>
      <w:r>
        <w:rPr>
          <w:rFonts w:hint="eastAsia" w:ascii="宋体" w:hAnsi="宋体" w:eastAsia="宋体"/>
          <w:color w:val="auto"/>
          <w:sz w:val="21"/>
          <w:szCs w:val="21"/>
          <w:highlight w:val="none"/>
        </w:rPr>
        <w:t xml:space="preserve">附件11. </w:t>
      </w:r>
      <w:r>
        <w:rPr>
          <w:rFonts w:hint="eastAsia" w:ascii="宋体" w:hAnsi="宋体" w:eastAsia="宋体"/>
          <w:color w:val="auto"/>
          <w:sz w:val="21"/>
          <w:szCs w:val="21"/>
          <w:highlight w:val="none"/>
          <w:lang w:eastAsia="zh-CN"/>
        </w:rPr>
        <w:t>技术条款</w:t>
      </w:r>
      <w:r>
        <w:rPr>
          <w:rFonts w:hint="eastAsia" w:ascii="宋体" w:hAnsi="宋体" w:eastAsia="宋体"/>
          <w:color w:val="auto"/>
          <w:sz w:val="21"/>
          <w:szCs w:val="21"/>
          <w:highlight w:val="none"/>
        </w:rPr>
        <w:t>偏离表格式</w:t>
      </w:r>
      <w:bookmarkEnd w:id="112"/>
    </w:p>
    <w:p w14:paraId="3026CA14">
      <w:pPr>
        <w:pageBreakBefore w:val="0"/>
        <w:kinsoku/>
        <w:topLinePunct w:val="0"/>
        <w:autoSpaceDE/>
        <w:autoSpaceDN/>
        <w:bidi w:val="0"/>
        <w:spacing w:line="360" w:lineRule="auto"/>
        <w:jc w:val="center"/>
        <w:rPr>
          <w:rFonts w:ascii="黑体" w:eastAsia="黑体"/>
          <w:color w:val="auto"/>
          <w:sz w:val="28"/>
          <w:szCs w:val="28"/>
          <w:highlight w:val="none"/>
        </w:rPr>
      </w:pPr>
    </w:p>
    <w:p w14:paraId="4C41BDA2">
      <w:pPr>
        <w:pageBreakBefore w:val="0"/>
        <w:kinsoku/>
        <w:topLinePunct w:val="0"/>
        <w:autoSpaceDE/>
        <w:autoSpaceDN/>
        <w:bidi w:val="0"/>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lang w:eastAsia="zh-CN"/>
        </w:rPr>
        <w:t>技术条款</w:t>
      </w:r>
      <w:r>
        <w:rPr>
          <w:rFonts w:hint="eastAsia" w:ascii="黑体" w:eastAsia="黑体"/>
          <w:color w:val="auto"/>
          <w:sz w:val="28"/>
          <w:szCs w:val="28"/>
          <w:highlight w:val="none"/>
        </w:rPr>
        <w:t>偏离表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73"/>
        <w:gridCol w:w="1699"/>
        <w:gridCol w:w="1629"/>
        <w:gridCol w:w="1239"/>
        <w:gridCol w:w="1544"/>
      </w:tblGrid>
      <w:tr w14:paraId="4EFA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248C4812">
            <w:pPr>
              <w:pageBreakBefore w:val="0"/>
              <w:kinsoku/>
              <w:topLinePunct w:val="0"/>
              <w:autoSpaceDE/>
              <w:autoSpaceDN/>
              <w:bidi w:val="0"/>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573" w:type="dxa"/>
            <w:vAlign w:val="center"/>
          </w:tcPr>
          <w:p w14:paraId="63D3CF29">
            <w:pPr>
              <w:pageBreakBefore w:val="0"/>
              <w:kinsoku/>
              <w:topLinePunct w:val="0"/>
              <w:autoSpaceDE/>
              <w:autoSpaceDN/>
              <w:bidi w:val="0"/>
              <w:spacing w:after="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技术条款名称</w:t>
            </w:r>
          </w:p>
        </w:tc>
        <w:tc>
          <w:tcPr>
            <w:tcW w:w="1699" w:type="dxa"/>
            <w:vAlign w:val="center"/>
          </w:tcPr>
          <w:p w14:paraId="5070A54A">
            <w:pPr>
              <w:pageBreakBefore w:val="0"/>
              <w:kinsoku/>
              <w:topLinePunct w:val="0"/>
              <w:autoSpaceDE/>
              <w:autoSpaceDN/>
              <w:bidi w:val="0"/>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招标要求</w:t>
            </w:r>
          </w:p>
        </w:tc>
        <w:tc>
          <w:tcPr>
            <w:tcW w:w="1629" w:type="dxa"/>
            <w:vAlign w:val="center"/>
          </w:tcPr>
          <w:p w14:paraId="71ECAFE4">
            <w:pPr>
              <w:pageBreakBefore w:val="0"/>
              <w:kinsoku/>
              <w:topLinePunct w:val="0"/>
              <w:autoSpaceDE/>
              <w:autoSpaceDN/>
              <w:bidi w:val="0"/>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投标实际响应</w:t>
            </w:r>
          </w:p>
        </w:tc>
        <w:tc>
          <w:tcPr>
            <w:tcW w:w="1239" w:type="dxa"/>
            <w:vAlign w:val="center"/>
          </w:tcPr>
          <w:p w14:paraId="47CD0DD4">
            <w:pPr>
              <w:pageBreakBefore w:val="0"/>
              <w:kinsoku/>
              <w:topLinePunct w:val="0"/>
              <w:autoSpaceDE/>
              <w:autoSpaceDN/>
              <w:bidi w:val="0"/>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是否偏离</w:t>
            </w:r>
          </w:p>
        </w:tc>
        <w:tc>
          <w:tcPr>
            <w:tcW w:w="1544" w:type="dxa"/>
            <w:vAlign w:val="center"/>
          </w:tcPr>
          <w:p w14:paraId="6FFD767C">
            <w:pPr>
              <w:pageBreakBefore w:val="0"/>
              <w:kinsoku/>
              <w:topLinePunct w:val="0"/>
              <w:autoSpaceDE/>
              <w:autoSpaceDN/>
              <w:bidi w:val="0"/>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14:paraId="59E1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A6876E6">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73" w:type="dxa"/>
            <w:vAlign w:val="center"/>
          </w:tcPr>
          <w:p w14:paraId="42882D74">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99" w:type="dxa"/>
            <w:vAlign w:val="center"/>
          </w:tcPr>
          <w:p w14:paraId="398C997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9" w:type="dxa"/>
            <w:vAlign w:val="center"/>
          </w:tcPr>
          <w:p w14:paraId="5A16C60C">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239" w:type="dxa"/>
            <w:vAlign w:val="center"/>
          </w:tcPr>
          <w:p w14:paraId="366B43A2">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44" w:type="dxa"/>
            <w:vAlign w:val="center"/>
          </w:tcPr>
          <w:p w14:paraId="372E5DE8">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7F48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C74F53A">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73" w:type="dxa"/>
            <w:vAlign w:val="center"/>
          </w:tcPr>
          <w:p w14:paraId="241B59BB">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99" w:type="dxa"/>
            <w:vAlign w:val="center"/>
          </w:tcPr>
          <w:p w14:paraId="46B1EF1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9" w:type="dxa"/>
            <w:vAlign w:val="center"/>
          </w:tcPr>
          <w:p w14:paraId="59E8AB9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239" w:type="dxa"/>
            <w:vAlign w:val="center"/>
          </w:tcPr>
          <w:p w14:paraId="74446BC6">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44" w:type="dxa"/>
            <w:vAlign w:val="center"/>
          </w:tcPr>
          <w:p w14:paraId="7DA0F414">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0556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0847BF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73" w:type="dxa"/>
            <w:vAlign w:val="center"/>
          </w:tcPr>
          <w:p w14:paraId="6B6876B6">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99" w:type="dxa"/>
            <w:vAlign w:val="center"/>
          </w:tcPr>
          <w:p w14:paraId="3794E5A6">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9" w:type="dxa"/>
            <w:vAlign w:val="center"/>
          </w:tcPr>
          <w:p w14:paraId="5D74AF2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239" w:type="dxa"/>
            <w:vAlign w:val="center"/>
          </w:tcPr>
          <w:p w14:paraId="5D7EA89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44" w:type="dxa"/>
            <w:vAlign w:val="center"/>
          </w:tcPr>
          <w:p w14:paraId="0E5C5DA4">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059D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82740BA">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73" w:type="dxa"/>
            <w:vAlign w:val="center"/>
          </w:tcPr>
          <w:p w14:paraId="44126F8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99" w:type="dxa"/>
            <w:vAlign w:val="center"/>
          </w:tcPr>
          <w:p w14:paraId="08B95BE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9" w:type="dxa"/>
            <w:vAlign w:val="center"/>
          </w:tcPr>
          <w:p w14:paraId="5D3BB694">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239" w:type="dxa"/>
            <w:vAlign w:val="center"/>
          </w:tcPr>
          <w:p w14:paraId="28E23B43">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44" w:type="dxa"/>
            <w:vAlign w:val="center"/>
          </w:tcPr>
          <w:p w14:paraId="45407FBD">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179B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A4EFF0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73" w:type="dxa"/>
            <w:vAlign w:val="center"/>
          </w:tcPr>
          <w:p w14:paraId="1812647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99" w:type="dxa"/>
            <w:vAlign w:val="center"/>
          </w:tcPr>
          <w:p w14:paraId="6B221CCC">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9" w:type="dxa"/>
            <w:vAlign w:val="center"/>
          </w:tcPr>
          <w:p w14:paraId="1B5909B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239" w:type="dxa"/>
            <w:vAlign w:val="center"/>
          </w:tcPr>
          <w:p w14:paraId="33160882">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44" w:type="dxa"/>
            <w:vAlign w:val="center"/>
          </w:tcPr>
          <w:p w14:paraId="77D2EE64">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1430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FA52CE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73" w:type="dxa"/>
            <w:vAlign w:val="center"/>
          </w:tcPr>
          <w:p w14:paraId="26A11B1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99" w:type="dxa"/>
            <w:vAlign w:val="center"/>
          </w:tcPr>
          <w:p w14:paraId="51B9A2C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9" w:type="dxa"/>
            <w:vAlign w:val="center"/>
          </w:tcPr>
          <w:p w14:paraId="35D961A2">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239" w:type="dxa"/>
            <w:vAlign w:val="center"/>
          </w:tcPr>
          <w:p w14:paraId="28437CF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44" w:type="dxa"/>
            <w:vAlign w:val="center"/>
          </w:tcPr>
          <w:p w14:paraId="372B795C">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1325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A82C37E">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73" w:type="dxa"/>
            <w:vAlign w:val="center"/>
          </w:tcPr>
          <w:p w14:paraId="759718C2">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99" w:type="dxa"/>
            <w:vAlign w:val="center"/>
          </w:tcPr>
          <w:p w14:paraId="10B3CC3C">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9" w:type="dxa"/>
            <w:vAlign w:val="center"/>
          </w:tcPr>
          <w:p w14:paraId="1CCE6B63">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239" w:type="dxa"/>
            <w:vAlign w:val="center"/>
          </w:tcPr>
          <w:p w14:paraId="0CD26A8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44" w:type="dxa"/>
            <w:vAlign w:val="center"/>
          </w:tcPr>
          <w:p w14:paraId="0DA45599">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4728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285330B">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73" w:type="dxa"/>
            <w:vAlign w:val="center"/>
          </w:tcPr>
          <w:p w14:paraId="4E62B32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99" w:type="dxa"/>
            <w:vAlign w:val="center"/>
          </w:tcPr>
          <w:p w14:paraId="11242F6B">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9" w:type="dxa"/>
            <w:vAlign w:val="center"/>
          </w:tcPr>
          <w:p w14:paraId="5968E46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239" w:type="dxa"/>
            <w:vAlign w:val="center"/>
          </w:tcPr>
          <w:p w14:paraId="649A5142">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44" w:type="dxa"/>
            <w:vAlign w:val="center"/>
          </w:tcPr>
          <w:p w14:paraId="005390F4">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485D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43419E3">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73" w:type="dxa"/>
            <w:vAlign w:val="center"/>
          </w:tcPr>
          <w:p w14:paraId="358235C3">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99" w:type="dxa"/>
            <w:vAlign w:val="center"/>
          </w:tcPr>
          <w:p w14:paraId="11AC6DB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9" w:type="dxa"/>
            <w:vAlign w:val="center"/>
          </w:tcPr>
          <w:p w14:paraId="4DD92BD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239" w:type="dxa"/>
            <w:vAlign w:val="center"/>
          </w:tcPr>
          <w:p w14:paraId="4A47521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44" w:type="dxa"/>
            <w:vAlign w:val="center"/>
          </w:tcPr>
          <w:p w14:paraId="145E784B">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1EE2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7CEC3F5">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73" w:type="dxa"/>
            <w:vAlign w:val="center"/>
          </w:tcPr>
          <w:p w14:paraId="7A3E01F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99" w:type="dxa"/>
            <w:vAlign w:val="center"/>
          </w:tcPr>
          <w:p w14:paraId="101B8DC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629" w:type="dxa"/>
            <w:vAlign w:val="center"/>
          </w:tcPr>
          <w:p w14:paraId="0196BC1E">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239" w:type="dxa"/>
            <w:vAlign w:val="center"/>
          </w:tcPr>
          <w:p w14:paraId="5FB1785A">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1544" w:type="dxa"/>
            <w:vAlign w:val="center"/>
          </w:tcPr>
          <w:p w14:paraId="65F15160">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bl>
    <w:p w14:paraId="3371444A">
      <w:pPr>
        <w:pageBreakBefore w:val="0"/>
        <w:kinsoku/>
        <w:topLinePunct w:val="0"/>
        <w:autoSpaceDE/>
        <w:autoSpaceDN/>
        <w:bidi w:val="0"/>
        <w:spacing w:line="360" w:lineRule="auto"/>
        <w:rPr>
          <w:rFonts w:ascii="宋体" w:hAnsi="宋体" w:eastAsia="宋体"/>
          <w:color w:val="auto"/>
          <w:sz w:val="21"/>
          <w:szCs w:val="21"/>
          <w:highlight w:val="none"/>
        </w:rPr>
      </w:pPr>
    </w:p>
    <w:p w14:paraId="0025083F">
      <w:pPr>
        <w:pageBreakBefore w:val="0"/>
        <w:kinsoku/>
        <w:topLinePunct w:val="0"/>
        <w:autoSpaceDE/>
        <w:autoSpaceDN/>
        <w:bidi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14:paraId="23921C68">
      <w:pPr>
        <w:pageBreakBefore w:val="0"/>
        <w:kinsoku/>
        <w:topLinePunct w:val="0"/>
        <w:autoSpaceDE/>
        <w:autoSpaceDN/>
        <w:bidi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23EB91C4">
      <w:pPr>
        <w:pageBreakBefore w:val="0"/>
        <w:kinsoku/>
        <w:topLinePunct w:val="0"/>
        <w:autoSpaceDE/>
        <w:autoSpaceDN/>
        <w:bidi w:val="0"/>
        <w:spacing w:line="360" w:lineRule="auto"/>
        <w:ind w:firstLine="178" w:firstLineChars="85"/>
        <w:rPr>
          <w:rFonts w:ascii="宋体" w:hAnsi="宋体" w:eastAsia="宋体"/>
          <w:color w:val="auto"/>
          <w:sz w:val="21"/>
          <w:szCs w:val="21"/>
          <w:highlight w:val="none"/>
        </w:rPr>
      </w:pPr>
    </w:p>
    <w:p w14:paraId="7D2D07F3">
      <w:pPr>
        <w:pageBreakBefore w:val="0"/>
        <w:kinsoku/>
        <w:topLinePunct w:val="0"/>
        <w:autoSpaceDE/>
        <w:autoSpaceDN/>
        <w:bidi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14:paraId="69A51F4C">
      <w:pPr>
        <w:pageBreakBefore w:val="0"/>
        <w:kinsoku/>
        <w:topLinePunct w:val="0"/>
        <w:autoSpaceDE/>
        <w:autoSpaceDN/>
        <w:bidi w:val="0"/>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1、偏离项中填写“正”、“负”或“无”，说明项中填写原因。</w:t>
      </w:r>
    </w:p>
    <w:p w14:paraId="3D6F418D">
      <w:pPr>
        <w:pageBreakBefore w:val="0"/>
        <w:kinsoku/>
        <w:topLinePunct w:val="0"/>
        <w:autoSpaceDE/>
        <w:autoSpaceDN/>
        <w:bidi w:val="0"/>
        <w:spacing w:after="0"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lang w:eastAsia="zh-CN"/>
        </w:rPr>
        <w:t>技术</w:t>
      </w:r>
      <w:r>
        <w:rPr>
          <w:rFonts w:hint="eastAsia" w:ascii="宋体" w:hAnsi="宋体" w:eastAsia="宋体"/>
          <w:color w:val="auto"/>
          <w:sz w:val="21"/>
          <w:szCs w:val="21"/>
          <w:highlight w:val="none"/>
        </w:rPr>
        <w:t>条款</w:t>
      </w:r>
      <w:r>
        <w:rPr>
          <w:rFonts w:hint="eastAsia" w:ascii="宋体" w:hAnsi="宋体" w:eastAsia="宋体"/>
          <w:color w:val="auto"/>
          <w:sz w:val="21"/>
          <w:szCs w:val="21"/>
          <w:highlight w:val="none"/>
          <w:lang w:eastAsia="zh-CN"/>
        </w:rPr>
        <w:t>根据“第三部分</w:t>
      </w:r>
      <w:r>
        <w:rPr>
          <w:rFonts w:hint="eastAsia" w:ascii="宋体" w:hAnsi="宋体" w:eastAsia="宋体"/>
          <w:color w:val="auto"/>
          <w:sz w:val="21"/>
          <w:szCs w:val="21"/>
          <w:highlight w:val="none"/>
          <w:lang w:val="en-US" w:eastAsia="zh-CN"/>
        </w:rPr>
        <w:t xml:space="preserve"> 用户需求书</w:t>
      </w:r>
      <w:r>
        <w:rPr>
          <w:rFonts w:hint="eastAsia" w:ascii="宋体" w:hAnsi="宋体" w:eastAsia="宋体"/>
          <w:color w:val="auto"/>
          <w:sz w:val="21"/>
          <w:szCs w:val="21"/>
          <w:highlight w:val="none"/>
          <w:lang w:eastAsia="zh-CN"/>
        </w:rPr>
        <w:t>”的“技术需求”填写。</w:t>
      </w:r>
    </w:p>
    <w:p w14:paraId="38638FFA">
      <w:pPr>
        <w:pageBreakBefore w:val="0"/>
        <w:kinsoku/>
        <w:topLinePunct w:val="0"/>
        <w:autoSpaceDE/>
        <w:autoSpaceDN/>
        <w:bidi w:val="0"/>
        <w:spacing w:after="0" w:line="360" w:lineRule="auto"/>
        <w:rPr>
          <w:rFonts w:ascii="宋体" w:hAnsi="宋体" w:eastAsia="宋体"/>
          <w:color w:val="auto"/>
          <w:sz w:val="21"/>
          <w:szCs w:val="21"/>
          <w:highlight w:val="none"/>
        </w:rPr>
      </w:pPr>
    </w:p>
    <w:p w14:paraId="286BB680">
      <w:pPr>
        <w:pageBreakBefore w:val="0"/>
        <w:kinsoku/>
        <w:topLinePunct w:val="0"/>
        <w:autoSpaceDE/>
        <w:autoSpaceDN/>
        <w:bidi w:val="0"/>
        <w:adjustRightInd/>
        <w:snapToGrid/>
        <w:spacing w:line="360" w:lineRule="auto"/>
        <w:rPr>
          <w:color w:val="auto"/>
          <w:highlight w:val="none"/>
        </w:rPr>
      </w:pPr>
    </w:p>
    <w:p w14:paraId="676994FC">
      <w:pPr>
        <w:pageBreakBefore w:val="0"/>
        <w:kinsoku/>
        <w:topLinePunct w:val="0"/>
        <w:autoSpaceDE/>
        <w:autoSpaceDN/>
        <w:bidi w:val="0"/>
        <w:spacing w:line="360" w:lineRule="auto"/>
        <w:rPr>
          <w:rFonts w:ascii="宋体" w:hAnsi="宋体" w:eastAsia="宋体"/>
          <w:color w:val="auto"/>
          <w:sz w:val="21"/>
          <w:szCs w:val="21"/>
          <w:highlight w:val="none"/>
        </w:rPr>
      </w:pPr>
      <w:bookmarkStart w:id="113" w:name="_Toc17691"/>
      <w:r>
        <w:rPr>
          <w:rFonts w:hint="eastAsia" w:ascii="宋体" w:hAnsi="宋体" w:eastAsia="宋体"/>
          <w:color w:val="auto"/>
          <w:sz w:val="21"/>
          <w:szCs w:val="21"/>
          <w:highlight w:val="none"/>
        </w:rPr>
        <w:br w:type="page"/>
      </w:r>
    </w:p>
    <w:p w14:paraId="6F3525BC">
      <w:pPr>
        <w:pStyle w:val="5"/>
        <w:pageBreakBefore w:val="0"/>
        <w:widowControl w:val="0"/>
        <w:kinsoku/>
        <w:overflowPunct w:val="0"/>
        <w:topLinePunct w:val="0"/>
        <w:autoSpaceDE/>
        <w:autoSpaceDN/>
        <w:bidi w:val="0"/>
        <w:spacing w:before="0" w:after="0" w:line="360" w:lineRule="auto"/>
        <w:rPr>
          <w:rFonts w:ascii="宋体" w:hAnsi="宋体" w:eastAsia="宋体" w:cs="Times New Roman"/>
          <w:b w:val="0"/>
          <w:bCs w:val="0"/>
          <w:color w:val="auto"/>
          <w:sz w:val="32"/>
          <w:szCs w:val="32"/>
          <w:highlight w:val="none"/>
        </w:rPr>
      </w:pPr>
      <w:bookmarkStart w:id="114" w:name="_Toc9275"/>
      <w:r>
        <w:rPr>
          <w:rFonts w:hint="eastAsia" w:ascii="宋体" w:hAnsi="宋体" w:eastAsia="宋体"/>
          <w:color w:val="auto"/>
          <w:sz w:val="21"/>
          <w:szCs w:val="21"/>
          <w:highlight w:val="none"/>
        </w:rPr>
        <w:t>附件12.重要技术参数（▲）响应表</w:t>
      </w:r>
      <w:bookmarkEnd w:id="113"/>
      <w:bookmarkEnd w:id="114"/>
    </w:p>
    <w:p w14:paraId="4D87915A">
      <w:pPr>
        <w:pageBreakBefore w:val="0"/>
        <w:kinsoku/>
        <w:topLinePunct w:val="0"/>
        <w:autoSpaceDE/>
        <w:autoSpaceDN/>
        <w:bidi w:val="0"/>
        <w:spacing w:line="360" w:lineRule="auto"/>
        <w:jc w:val="center"/>
        <w:rPr>
          <w:rFonts w:ascii="黑体" w:eastAsia="黑体"/>
          <w:color w:val="auto"/>
          <w:sz w:val="28"/>
          <w:szCs w:val="28"/>
          <w:highlight w:val="none"/>
        </w:rPr>
      </w:pPr>
      <w:bookmarkStart w:id="115" w:name="_Toc26078"/>
      <w:bookmarkStart w:id="116" w:name="_Toc1274"/>
      <w:bookmarkStart w:id="117" w:name="_Toc4827"/>
      <w:bookmarkStart w:id="118" w:name="_Toc6080"/>
      <w:bookmarkStart w:id="119" w:name="_Toc4464"/>
      <w:bookmarkStart w:id="120" w:name="_Toc18668"/>
    </w:p>
    <w:p w14:paraId="3B826FB8">
      <w:pPr>
        <w:pageBreakBefore w:val="0"/>
        <w:kinsoku/>
        <w:topLinePunct w:val="0"/>
        <w:autoSpaceDE/>
        <w:autoSpaceDN/>
        <w:bidi w:val="0"/>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重要技术参数（▲）响应表</w:t>
      </w:r>
      <w:bookmarkEnd w:id="115"/>
      <w:bookmarkEnd w:id="116"/>
      <w:bookmarkEnd w:id="117"/>
      <w:bookmarkEnd w:id="118"/>
      <w:bookmarkEnd w:id="119"/>
      <w:bookmarkEnd w:id="120"/>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2"/>
        <w:gridCol w:w="2840"/>
      </w:tblGrid>
      <w:tr w14:paraId="3832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14:paraId="2CFCC5F1">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bookmarkStart w:id="121" w:name="_Toc21739"/>
            <w:bookmarkStart w:id="122" w:name="_Toc2700"/>
            <w:bookmarkStart w:id="123" w:name="_Toc27090"/>
            <w:bookmarkStart w:id="124" w:name="_Toc15903"/>
            <w:bookmarkStart w:id="125" w:name="_Toc14815"/>
            <w:bookmarkStart w:id="126" w:name="_Toc29642"/>
            <w:bookmarkStart w:id="127" w:name="_Toc16872"/>
            <w:bookmarkStart w:id="128" w:name="_Toc21208"/>
            <w:bookmarkStart w:id="129" w:name="_Toc10045"/>
            <w:bookmarkStart w:id="130" w:name="_Toc12049"/>
            <w:bookmarkStart w:id="131" w:name="_Toc15357"/>
            <w:bookmarkStart w:id="132" w:name="_Toc22448"/>
            <w:bookmarkStart w:id="133" w:name="_Toc4304"/>
            <w:r>
              <w:rPr>
                <w:rFonts w:hint="eastAsia" w:ascii="宋体" w:hAnsi="宋体" w:eastAsia="宋体" w:cs="Times New Roman"/>
                <w:color w:val="auto"/>
                <w:sz w:val="21"/>
                <w:szCs w:val="21"/>
                <w:highlight w:val="none"/>
              </w:rPr>
              <w:t>技术参数（▲）</w:t>
            </w:r>
            <w:bookmarkEnd w:id="121"/>
            <w:bookmarkEnd w:id="122"/>
            <w:bookmarkEnd w:id="123"/>
            <w:bookmarkEnd w:id="124"/>
            <w:bookmarkEnd w:id="125"/>
            <w:bookmarkEnd w:id="126"/>
            <w:bookmarkEnd w:id="127"/>
            <w:bookmarkEnd w:id="128"/>
            <w:bookmarkEnd w:id="129"/>
            <w:bookmarkEnd w:id="130"/>
            <w:bookmarkEnd w:id="131"/>
            <w:bookmarkEnd w:id="132"/>
            <w:bookmarkEnd w:id="133"/>
          </w:p>
        </w:tc>
        <w:tc>
          <w:tcPr>
            <w:tcW w:w="2842" w:type="dxa"/>
            <w:vAlign w:val="center"/>
          </w:tcPr>
          <w:p w14:paraId="3EBF8CF6">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bookmarkStart w:id="134" w:name="_Toc22879"/>
            <w:bookmarkStart w:id="135" w:name="_Toc8312"/>
            <w:bookmarkStart w:id="136" w:name="_Toc7333"/>
            <w:bookmarkStart w:id="137" w:name="_Toc24662"/>
            <w:bookmarkStart w:id="138" w:name="_Toc22917"/>
            <w:bookmarkStart w:id="139" w:name="_Toc19251"/>
            <w:bookmarkStart w:id="140" w:name="_Toc15615"/>
            <w:bookmarkStart w:id="141" w:name="_Toc14810"/>
            <w:bookmarkStart w:id="142" w:name="_Toc32531"/>
            <w:bookmarkStart w:id="143" w:name="_Toc27442"/>
            <w:bookmarkStart w:id="144" w:name="_Toc19977"/>
            <w:bookmarkStart w:id="145" w:name="_Toc21809"/>
            <w:bookmarkStart w:id="146" w:name="_Toc8490"/>
            <w:r>
              <w:rPr>
                <w:rFonts w:hint="eastAsia" w:ascii="宋体" w:hAnsi="宋体" w:eastAsia="宋体" w:cs="Times New Roman"/>
                <w:color w:val="auto"/>
                <w:sz w:val="21"/>
                <w:szCs w:val="21"/>
                <w:highlight w:val="none"/>
              </w:rPr>
              <w:t>是否响应</w:t>
            </w:r>
            <w:bookmarkEnd w:id="134"/>
            <w:bookmarkEnd w:id="135"/>
            <w:bookmarkEnd w:id="136"/>
            <w:bookmarkEnd w:id="137"/>
            <w:bookmarkEnd w:id="138"/>
            <w:bookmarkEnd w:id="139"/>
            <w:bookmarkEnd w:id="140"/>
            <w:bookmarkEnd w:id="141"/>
            <w:bookmarkEnd w:id="142"/>
            <w:bookmarkEnd w:id="143"/>
            <w:bookmarkEnd w:id="144"/>
            <w:bookmarkEnd w:id="145"/>
            <w:bookmarkEnd w:id="146"/>
          </w:p>
        </w:tc>
        <w:tc>
          <w:tcPr>
            <w:tcW w:w="2840" w:type="dxa"/>
            <w:vAlign w:val="center"/>
          </w:tcPr>
          <w:p w14:paraId="2DC6D8D4">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bookmarkStart w:id="147" w:name="_Toc20820"/>
            <w:bookmarkStart w:id="148" w:name="_Toc27185"/>
            <w:bookmarkStart w:id="149" w:name="_Toc6410"/>
            <w:bookmarkStart w:id="150" w:name="_Toc27863"/>
            <w:bookmarkStart w:id="151" w:name="_Toc1912"/>
            <w:bookmarkStart w:id="152" w:name="_Toc31875"/>
            <w:bookmarkStart w:id="153" w:name="_Toc17296"/>
            <w:bookmarkStart w:id="154" w:name="_Toc3701"/>
            <w:bookmarkStart w:id="155" w:name="_Toc1330"/>
            <w:bookmarkStart w:id="156" w:name="_Toc5563"/>
            <w:bookmarkStart w:id="157" w:name="_Toc17642"/>
            <w:bookmarkStart w:id="158" w:name="_Toc5992"/>
            <w:bookmarkStart w:id="159" w:name="_Toc20139"/>
            <w:r>
              <w:rPr>
                <w:rFonts w:hint="eastAsia" w:ascii="宋体" w:hAnsi="宋体" w:eastAsia="宋体" w:cs="Times New Roman"/>
                <w:color w:val="auto"/>
                <w:sz w:val="21"/>
                <w:szCs w:val="21"/>
                <w:highlight w:val="none"/>
              </w:rPr>
              <w:t>页码范围</w:t>
            </w:r>
            <w:bookmarkEnd w:id="147"/>
            <w:bookmarkEnd w:id="148"/>
            <w:bookmarkEnd w:id="149"/>
            <w:bookmarkEnd w:id="150"/>
            <w:bookmarkEnd w:id="151"/>
            <w:bookmarkEnd w:id="152"/>
            <w:bookmarkEnd w:id="153"/>
            <w:bookmarkEnd w:id="154"/>
            <w:bookmarkEnd w:id="155"/>
            <w:bookmarkEnd w:id="156"/>
            <w:bookmarkEnd w:id="157"/>
            <w:bookmarkEnd w:id="158"/>
            <w:bookmarkEnd w:id="159"/>
          </w:p>
        </w:tc>
      </w:tr>
      <w:tr w14:paraId="0609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14:paraId="6338CE84">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2" w:type="dxa"/>
            <w:vAlign w:val="center"/>
          </w:tcPr>
          <w:p w14:paraId="6CCC84C3">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0" w:type="dxa"/>
            <w:vAlign w:val="center"/>
          </w:tcPr>
          <w:p w14:paraId="397BB237">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r>
      <w:tr w14:paraId="6F34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14:paraId="1A72EDDA">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2" w:type="dxa"/>
            <w:vAlign w:val="center"/>
          </w:tcPr>
          <w:p w14:paraId="47C1F2C3">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0" w:type="dxa"/>
            <w:vAlign w:val="center"/>
          </w:tcPr>
          <w:p w14:paraId="1A91D7FF">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r>
      <w:tr w14:paraId="7909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14:paraId="3EC9BE49">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2" w:type="dxa"/>
            <w:vAlign w:val="center"/>
          </w:tcPr>
          <w:p w14:paraId="17708DAD">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0" w:type="dxa"/>
            <w:vAlign w:val="center"/>
          </w:tcPr>
          <w:p w14:paraId="6AC0A991">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r>
      <w:tr w14:paraId="04C8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14:paraId="1406FF56">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2" w:type="dxa"/>
            <w:vAlign w:val="center"/>
          </w:tcPr>
          <w:p w14:paraId="247E24D9">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0" w:type="dxa"/>
            <w:vAlign w:val="center"/>
          </w:tcPr>
          <w:p w14:paraId="18EA368B">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r>
      <w:tr w14:paraId="3110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14:paraId="08FB849E">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2" w:type="dxa"/>
            <w:vAlign w:val="center"/>
          </w:tcPr>
          <w:p w14:paraId="24167529">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0" w:type="dxa"/>
            <w:vAlign w:val="center"/>
          </w:tcPr>
          <w:p w14:paraId="225B3F30">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r>
      <w:tr w14:paraId="75D6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14:paraId="390AE334">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2" w:type="dxa"/>
            <w:vAlign w:val="center"/>
          </w:tcPr>
          <w:p w14:paraId="742F3DC1">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c>
          <w:tcPr>
            <w:tcW w:w="2840" w:type="dxa"/>
            <w:vAlign w:val="center"/>
          </w:tcPr>
          <w:p w14:paraId="09D12C18">
            <w:pPr>
              <w:pStyle w:val="5"/>
              <w:pageBreakBefore w:val="0"/>
              <w:widowControl w:val="0"/>
              <w:kinsoku/>
              <w:overflowPunct w:val="0"/>
              <w:topLinePunct w:val="0"/>
              <w:autoSpaceDE/>
              <w:autoSpaceDN/>
              <w:bidi w:val="0"/>
              <w:spacing w:before="0" w:after="0" w:line="360" w:lineRule="auto"/>
              <w:jc w:val="center"/>
              <w:rPr>
                <w:rFonts w:ascii="宋体" w:hAnsi="宋体" w:eastAsia="宋体" w:cs="Times New Roman"/>
                <w:color w:val="auto"/>
                <w:sz w:val="21"/>
                <w:szCs w:val="21"/>
                <w:highlight w:val="none"/>
              </w:rPr>
            </w:pPr>
          </w:p>
        </w:tc>
      </w:tr>
    </w:tbl>
    <w:p w14:paraId="3C6F10C5">
      <w:pPr>
        <w:pStyle w:val="26"/>
        <w:pageBreakBefore w:val="0"/>
        <w:kinsoku/>
        <w:topLinePunct w:val="0"/>
        <w:autoSpaceDE/>
        <w:autoSpaceDN/>
        <w:bidi w:val="0"/>
        <w:spacing w:after="0" w:line="360" w:lineRule="auto"/>
        <w:rPr>
          <w:rFonts w:ascii="宋体" w:hAnsi="宋体" w:eastAsia="宋体"/>
          <w:color w:val="auto"/>
          <w:sz w:val="21"/>
          <w:szCs w:val="21"/>
          <w:highlight w:val="none"/>
        </w:rPr>
      </w:pPr>
    </w:p>
    <w:p w14:paraId="046DBE52">
      <w:pPr>
        <w:pStyle w:val="26"/>
        <w:pageBreakBefore w:val="0"/>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14:paraId="78CA2550">
      <w:pPr>
        <w:pStyle w:val="26"/>
        <w:pageBreakBefore w:val="0"/>
        <w:numPr>
          <w:ilvl w:val="0"/>
          <w:numId w:val="9"/>
        </w:numPr>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14:paraId="4DBA26C1">
      <w:pPr>
        <w:pStyle w:val="26"/>
        <w:pageBreakBefore w:val="0"/>
        <w:numPr>
          <w:ilvl w:val="0"/>
          <w:numId w:val="9"/>
        </w:numPr>
        <w:kinsoku/>
        <w:topLinePunct w:val="0"/>
        <w:autoSpaceDE/>
        <w:autoSpaceDN/>
        <w:bidi w:val="0"/>
        <w:spacing w:after="0" w:line="360" w:lineRule="auto"/>
        <w:ind w:firstLine="422"/>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投标人可按项目的实际需要提供本表格。招标文件内未涉及▲参数的，此表可以不用提供。</w:t>
      </w:r>
    </w:p>
    <w:p w14:paraId="4C05689F">
      <w:pPr>
        <w:pStyle w:val="26"/>
        <w:pageBreakBefore w:val="0"/>
        <w:numPr>
          <w:ilvl w:val="0"/>
          <w:numId w:val="9"/>
        </w:numPr>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响应表所列出的材料应为真实准确的，若文件需要，应提供相关证明材料复印件加盖公章。请勿提供虚假、过期材料，否则将依据相关规定严肃处理</w:t>
      </w:r>
    </w:p>
    <w:p w14:paraId="59695855">
      <w:pPr>
        <w:pStyle w:val="26"/>
        <w:pageBreakBefore w:val="0"/>
        <w:numPr>
          <w:ilvl w:val="0"/>
          <w:numId w:val="9"/>
        </w:numPr>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若招标文件有需求，投标文件未提供重要技术参数（</w:t>
      </w:r>
      <w:r>
        <w:rPr>
          <w:rFonts w:hint="eastAsia" w:ascii="宋体" w:hAnsi="宋体" w:eastAsia="宋体" w:cs="Times New Roman"/>
          <w:color w:val="auto"/>
          <w:sz w:val="21"/>
          <w:szCs w:val="21"/>
          <w:highlight w:val="none"/>
        </w:rPr>
        <w:t>▲</w:t>
      </w:r>
      <w:r>
        <w:rPr>
          <w:rFonts w:hint="eastAsia" w:ascii="宋体" w:hAnsi="宋体" w:eastAsia="宋体"/>
          <w:color w:val="auto"/>
          <w:sz w:val="21"/>
          <w:szCs w:val="21"/>
          <w:highlight w:val="none"/>
        </w:rPr>
        <w:t>）响应表对投标人投标产生负面影响的，投标人自行承担后果。</w:t>
      </w:r>
    </w:p>
    <w:p w14:paraId="32601301">
      <w:pPr>
        <w:pStyle w:val="26"/>
        <w:pageBreakBefore w:val="0"/>
        <w:numPr>
          <w:ilvl w:val="0"/>
          <w:numId w:val="9"/>
        </w:numPr>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14:paraId="7F354A41">
      <w:pPr>
        <w:pStyle w:val="5"/>
        <w:pageBreakBefore w:val="0"/>
        <w:widowControl w:val="0"/>
        <w:kinsoku/>
        <w:overflowPunct w:val="0"/>
        <w:topLinePunct w:val="0"/>
        <w:autoSpaceDE/>
        <w:autoSpaceDN/>
        <w:bidi w:val="0"/>
        <w:spacing w:before="0" w:after="0" w:line="360" w:lineRule="auto"/>
        <w:rPr>
          <w:rFonts w:ascii="宋体" w:hAnsi="宋体" w:eastAsia="宋体"/>
          <w:color w:val="auto"/>
          <w:sz w:val="30"/>
          <w:szCs w:val="30"/>
          <w:highlight w:val="none"/>
        </w:rPr>
      </w:pPr>
      <w:bookmarkStart w:id="160" w:name="_Toc19767"/>
      <w:r>
        <w:rPr>
          <w:rFonts w:hint="eastAsia" w:ascii="宋体" w:hAnsi="宋体" w:eastAsia="宋体"/>
          <w:color w:val="auto"/>
          <w:sz w:val="21"/>
          <w:szCs w:val="21"/>
          <w:highlight w:val="none"/>
        </w:rPr>
        <w:t>附件13.业绩表</w:t>
      </w:r>
      <w:bookmarkEnd w:id="160"/>
    </w:p>
    <w:p w14:paraId="2AC7665A">
      <w:pPr>
        <w:pageBreakBefore w:val="0"/>
        <w:kinsoku/>
        <w:topLinePunct w:val="0"/>
        <w:autoSpaceDE/>
        <w:autoSpaceDN/>
        <w:bidi w:val="0"/>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1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6324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6C98CE91">
            <w:pPr>
              <w:pageBreakBefore w:val="0"/>
              <w:kinsoku/>
              <w:topLinePunct w:val="0"/>
              <w:autoSpaceDE/>
              <w:autoSpaceDN/>
              <w:bidi w:val="0"/>
              <w:adjustRightInd/>
              <w:snapToGrid/>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705" w:type="dxa"/>
            <w:vAlign w:val="center"/>
          </w:tcPr>
          <w:p w14:paraId="774C359B">
            <w:pPr>
              <w:pageBreakBefore w:val="0"/>
              <w:kinsoku/>
              <w:topLinePunct w:val="0"/>
              <w:autoSpaceDE/>
              <w:autoSpaceDN/>
              <w:bidi w:val="0"/>
              <w:adjustRightInd/>
              <w:snapToGrid/>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tc>
        <w:tc>
          <w:tcPr>
            <w:tcW w:w="1706" w:type="dxa"/>
            <w:vAlign w:val="center"/>
          </w:tcPr>
          <w:p w14:paraId="04DA3453">
            <w:pPr>
              <w:pageBreakBefore w:val="0"/>
              <w:kinsoku/>
              <w:topLinePunct w:val="0"/>
              <w:autoSpaceDE/>
              <w:autoSpaceDN/>
              <w:bidi w:val="0"/>
              <w:adjustRightInd/>
              <w:snapToGrid/>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项目金额</w:t>
            </w:r>
          </w:p>
        </w:tc>
        <w:tc>
          <w:tcPr>
            <w:tcW w:w="1705" w:type="dxa"/>
            <w:vAlign w:val="center"/>
          </w:tcPr>
          <w:p w14:paraId="09AAF3F9">
            <w:pPr>
              <w:pageBreakBefore w:val="0"/>
              <w:kinsoku/>
              <w:topLinePunct w:val="0"/>
              <w:autoSpaceDE/>
              <w:autoSpaceDN/>
              <w:bidi w:val="0"/>
              <w:adjustRightInd/>
              <w:snapToGrid/>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项目合同签订时间</w:t>
            </w:r>
          </w:p>
        </w:tc>
        <w:tc>
          <w:tcPr>
            <w:tcW w:w="1697" w:type="dxa"/>
            <w:vAlign w:val="center"/>
          </w:tcPr>
          <w:p w14:paraId="20618A81">
            <w:pPr>
              <w:pageBreakBefore w:val="0"/>
              <w:kinsoku/>
              <w:topLinePunct w:val="0"/>
              <w:autoSpaceDE/>
              <w:autoSpaceDN/>
              <w:bidi w:val="0"/>
              <w:adjustRightInd/>
              <w:snapToGrid/>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14:paraId="68A9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7A7A2AAD">
            <w:pPr>
              <w:pageBreakBefore w:val="0"/>
              <w:kinsoku/>
              <w:topLinePunct w:val="0"/>
              <w:autoSpaceDE/>
              <w:autoSpaceDN/>
              <w:bidi w:val="0"/>
              <w:adjustRightInd/>
              <w:snapToGrid/>
              <w:spacing w:after="0" w:line="360" w:lineRule="auto"/>
              <w:jc w:val="center"/>
              <w:rPr>
                <w:rFonts w:ascii="宋体" w:hAnsi="宋体" w:eastAsia="宋体"/>
                <w:color w:val="auto"/>
                <w:sz w:val="21"/>
                <w:szCs w:val="21"/>
                <w:highlight w:val="none"/>
              </w:rPr>
            </w:pPr>
          </w:p>
        </w:tc>
        <w:tc>
          <w:tcPr>
            <w:tcW w:w="1705" w:type="dxa"/>
            <w:vAlign w:val="center"/>
          </w:tcPr>
          <w:p w14:paraId="77AC564A">
            <w:pPr>
              <w:pageBreakBefore w:val="0"/>
              <w:kinsoku/>
              <w:topLinePunct w:val="0"/>
              <w:autoSpaceDE/>
              <w:autoSpaceDN/>
              <w:bidi w:val="0"/>
              <w:adjustRightInd/>
              <w:snapToGrid/>
              <w:spacing w:after="0" w:line="360" w:lineRule="auto"/>
              <w:jc w:val="center"/>
              <w:rPr>
                <w:rFonts w:ascii="宋体" w:hAnsi="宋体" w:eastAsia="宋体"/>
                <w:color w:val="auto"/>
                <w:sz w:val="21"/>
                <w:szCs w:val="21"/>
                <w:highlight w:val="none"/>
              </w:rPr>
            </w:pPr>
          </w:p>
        </w:tc>
        <w:tc>
          <w:tcPr>
            <w:tcW w:w="1706" w:type="dxa"/>
            <w:vAlign w:val="center"/>
          </w:tcPr>
          <w:p w14:paraId="38E0D279">
            <w:pPr>
              <w:pageBreakBefore w:val="0"/>
              <w:kinsoku/>
              <w:topLinePunct w:val="0"/>
              <w:autoSpaceDE/>
              <w:autoSpaceDN/>
              <w:bidi w:val="0"/>
              <w:adjustRightInd/>
              <w:snapToGrid/>
              <w:spacing w:after="0" w:line="360" w:lineRule="auto"/>
              <w:jc w:val="center"/>
              <w:rPr>
                <w:rFonts w:ascii="宋体" w:hAnsi="宋体" w:eastAsia="宋体"/>
                <w:color w:val="auto"/>
                <w:sz w:val="21"/>
                <w:szCs w:val="21"/>
                <w:highlight w:val="none"/>
              </w:rPr>
            </w:pPr>
          </w:p>
        </w:tc>
        <w:tc>
          <w:tcPr>
            <w:tcW w:w="1705" w:type="dxa"/>
            <w:vAlign w:val="center"/>
          </w:tcPr>
          <w:p w14:paraId="52C132AB">
            <w:pPr>
              <w:pageBreakBefore w:val="0"/>
              <w:kinsoku/>
              <w:topLinePunct w:val="0"/>
              <w:autoSpaceDE/>
              <w:autoSpaceDN/>
              <w:bidi w:val="0"/>
              <w:adjustRightInd/>
              <w:snapToGrid/>
              <w:spacing w:after="0" w:line="360" w:lineRule="auto"/>
              <w:jc w:val="center"/>
              <w:rPr>
                <w:rFonts w:ascii="宋体" w:hAnsi="宋体" w:eastAsia="宋体"/>
                <w:color w:val="auto"/>
                <w:sz w:val="21"/>
                <w:szCs w:val="21"/>
                <w:highlight w:val="none"/>
              </w:rPr>
            </w:pPr>
          </w:p>
        </w:tc>
        <w:tc>
          <w:tcPr>
            <w:tcW w:w="1697" w:type="dxa"/>
            <w:vAlign w:val="center"/>
          </w:tcPr>
          <w:p w14:paraId="283DEB36">
            <w:pPr>
              <w:pageBreakBefore w:val="0"/>
              <w:kinsoku/>
              <w:topLinePunct w:val="0"/>
              <w:autoSpaceDE/>
              <w:autoSpaceDN/>
              <w:bidi w:val="0"/>
              <w:adjustRightInd/>
              <w:snapToGrid/>
              <w:spacing w:after="0" w:line="360" w:lineRule="auto"/>
              <w:jc w:val="center"/>
              <w:rPr>
                <w:rFonts w:ascii="宋体" w:hAnsi="宋体" w:eastAsia="宋体"/>
                <w:color w:val="auto"/>
                <w:sz w:val="21"/>
                <w:szCs w:val="21"/>
                <w:highlight w:val="none"/>
              </w:rPr>
            </w:pPr>
          </w:p>
        </w:tc>
      </w:tr>
      <w:tr w14:paraId="3F0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59F2B333">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5" w:type="dxa"/>
          </w:tcPr>
          <w:p w14:paraId="37970634">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6" w:type="dxa"/>
          </w:tcPr>
          <w:p w14:paraId="5C8E8D64">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5" w:type="dxa"/>
          </w:tcPr>
          <w:p w14:paraId="0A076C4C">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697" w:type="dxa"/>
          </w:tcPr>
          <w:p w14:paraId="4A5C5CD0">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r>
      <w:tr w14:paraId="5923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73A3E5A0">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5" w:type="dxa"/>
          </w:tcPr>
          <w:p w14:paraId="347CE854">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6" w:type="dxa"/>
          </w:tcPr>
          <w:p w14:paraId="59342E64">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5" w:type="dxa"/>
          </w:tcPr>
          <w:p w14:paraId="7B9A0D48">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697" w:type="dxa"/>
          </w:tcPr>
          <w:p w14:paraId="51FB5098">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r>
      <w:tr w14:paraId="5B92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70CFA717">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5" w:type="dxa"/>
          </w:tcPr>
          <w:p w14:paraId="3A58CF7A">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6" w:type="dxa"/>
          </w:tcPr>
          <w:p w14:paraId="55838AE2">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5" w:type="dxa"/>
          </w:tcPr>
          <w:p w14:paraId="739AE8A1">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697" w:type="dxa"/>
          </w:tcPr>
          <w:p w14:paraId="77216C97">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r>
      <w:tr w14:paraId="6D4E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4458E62">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5" w:type="dxa"/>
          </w:tcPr>
          <w:p w14:paraId="59E9B969">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6" w:type="dxa"/>
          </w:tcPr>
          <w:p w14:paraId="2EE423D6">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5" w:type="dxa"/>
          </w:tcPr>
          <w:p w14:paraId="5DA01AA3">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697" w:type="dxa"/>
          </w:tcPr>
          <w:p w14:paraId="3C57C298">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r>
      <w:tr w14:paraId="0B12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72C6A325">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5" w:type="dxa"/>
          </w:tcPr>
          <w:p w14:paraId="111A0895">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6" w:type="dxa"/>
          </w:tcPr>
          <w:p w14:paraId="49798DFD">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705" w:type="dxa"/>
          </w:tcPr>
          <w:p w14:paraId="4AA140EF">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c>
          <w:tcPr>
            <w:tcW w:w="1697" w:type="dxa"/>
          </w:tcPr>
          <w:p w14:paraId="7229B807">
            <w:pPr>
              <w:pageBreakBefore w:val="0"/>
              <w:kinsoku/>
              <w:topLinePunct w:val="0"/>
              <w:autoSpaceDE/>
              <w:autoSpaceDN/>
              <w:bidi w:val="0"/>
              <w:adjustRightInd/>
              <w:snapToGrid/>
              <w:spacing w:after="0" w:line="360" w:lineRule="auto"/>
              <w:rPr>
                <w:rFonts w:ascii="宋体" w:hAnsi="宋体" w:eastAsia="宋体"/>
                <w:color w:val="auto"/>
                <w:sz w:val="21"/>
                <w:szCs w:val="21"/>
                <w:highlight w:val="none"/>
              </w:rPr>
            </w:pPr>
          </w:p>
        </w:tc>
      </w:tr>
    </w:tbl>
    <w:p w14:paraId="414FE953">
      <w:pPr>
        <w:pStyle w:val="26"/>
        <w:pageBreakBefore w:val="0"/>
        <w:kinsoku/>
        <w:topLinePunct w:val="0"/>
        <w:autoSpaceDE/>
        <w:autoSpaceDN/>
        <w:bidi w:val="0"/>
        <w:spacing w:after="0" w:line="360" w:lineRule="auto"/>
        <w:rPr>
          <w:rFonts w:ascii="宋体" w:hAnsi="宋体" w:eastAsia="宋体"/>
          <w:color w:val="auto"/>
          <w:sz w:val="21"/>
          <w:szCs w:val="21"/>
          <w:highlight w:val="none"/>
        </w:rPr>
      </w:pPr>
    </w:p>
    <w:p w14:paraId="3FC734DD">
      <w:pPr>
        <w:pStyle w:val="26"/>
        <w:pageBreakBefore w:val="0"/>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14:paraId="05B6C3D7">
      <w:pPr>
        <w:pStyle w:val="26"/>
        <w:pageBreakBefore w:val="0"/>
        <w:numPr>
          <w:ilvl w:val="0"/>
          <w:numId w:val="10"/>
        </w:numPr>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14:paraId="54577A3E">
      <w:pPr>
        <w:pStyle w:val="26"/>
        <w:pageBreakBefore w:val="0"/>
        <w:numPr>
          <w:ilvl w:val="0"/>
          <w:numId w:val="10"/>
        </w:numPr>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业绩表所列出的材料应为真实准确的，并应提供相关证明材料复印件加盖公章。请勿提供虚假、过期材料，否则将依据相关规定严肃处理。</w:t>
      </w:r>
    </w:p>
    <w:p w14:paraId="2006C6F4">
      <w:pPr>
        <w:pStyle w:val="26"/>
        <w:pageBreakBefore w:val="0"/>
        <w:numPr>
          <w:ilvl w:val="0"/>
          <w:numId w:val="10"/>
        </w:numPr>
        <w:kinsoku/>
        <w:topLinePunct w:val="0"/>
        <w:autoSpaceDE/>
        <w:autoSpaceDN/>
        <w:bidi w:val="0"/>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14:paraId="081A2E2F">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161" w:name="_Toc20567"/>
      <w:r>
        <w:rPr>
          <w:rFonts w:hint="eastAsia" w:ascii="宋体" w:hAnsi="宋体" w:eastAsia="宋体"/>
          <w:color w:val="auto"/>
          <w:sz w:val="21"/>
          <w:szCs w:val="21"/>
          <w:highlight w:val="none"/>
        </w:rPr>
        <w:t>附件14. 项目实施方案格式</w:t>
      </w:r>
      <w:bookmarkEnd w:id="161"/>
    </w:p>
    <w:p w14:paraId="3F65E346">
      <w:pPr>
        <w:pageBreakBefore w:val="0"/>
        <w:kinsoku/>
        <w:topLinePunct w:val="0"/>
        <w:autoSpaceDE/>
        <w:autoSpaceDN/>
        <w:bidi w:val="0"/>
        <w:spacing w:line="360" w:lineRule="auto"/>
        <w:jc w:val="center"/>
        <w:rPr>
          <w:rFonts w:ascii="黑体" w:eastAsia="黑体"/>
          <w:color w:val="auto"/>
          <w:sz w:val="32"/>
          <w:szCs w:val="32"/>
          <w:highlight w:val="none"/>
        </w:rPr>
      </w:pPr>
    </w:p>
    <w:p w14:paraId="1FB67D5C">
      <w:pPr>
        <w:pageBreakBefore w:val="0"/>
        <w:kinsoku/>
        <w:topLinePunct w:val="0"/>
        <w:autoSpaceDE/>
        <w:autoSpaceDN/>
        <w:bidi w:val="0"/>
        <w:spacing w:line="360" w:lineRule="auto"/>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14:paraId="623F558C">
      <w:pPr>
        <w:pageBreakBefore w:val="0"/>
        <w:kinsoku/>
        <w:topLinePunct w:val="0"/>
        <w:autoSpaceDE/>
        <w:autoSpaceDN/>
        <w:bidi w:val="0"/>
        <w:spacing w:line="360" w:lineRule="auto"/>
        <w:jc w:val="center"/>
        <w:rPr>
          <w:rFonts w:ascii="黑体" w:eastAsia="黑体"/>
          <w:color w:val="auto"/>
          <w:sz w:val="32"/>
          <w:szCs w:val="32"/>
          <w:highlight w:val="none"/>
        </w:rPr>
      </w:pPr>
    </w:p>
    <w:p w14:paraId="07FB93FA">
      <w:pPr>
        <w:keepNext w:val="0"/>
        <w:keepLines w:val="0"/>
        <w:pageBreakBefore w:val="0"/>
        <w:widowControl/>
        <w:kinsoku/>
        <w:wordWrap/>
        <w:overflowPunct/>
        <w:topLinePunct w:val="0"/>
        <w:autoSpaceDE/>
        <w:autoSpaceDN/>
        <w:bidi w:val="0"/>
        <w:adjustRightInd w:val="0"/>
        <w:snapToGrid w:val="0"/>
        <w:spacing w:after="0" w:line="360" w:lineRule="auto"/>
        <w:ind w:left="141" w:leftChars="64" w:firstLine="420" w:firstLineChars="200"/>
        <w:textAlignment w:val="auto"/>
        <w:rPr>
          <w:rFonts w:hint="eastAsia" w:ascii="宋体" w:hAnsi="宋体" w:eastAsia="宋体" w:cstheme="minorBidi"/>
          <w:color w:val="auto"/>
          <w:sz w:val="21"/>
          <w:szCs w:val="21"/>
          <w:highlight w:val="none"/>
          <w:lang w:val="en-US" w:eastAsia="zh-CN" w:bidi="ar-SA"/>
        </w:rPr>
      </w:pPr>
      <w:r>
        <w:rPr>
          <w:rFonts w:hint="eastAsia" w:ascii="宋体" w:hAnsi="宋体" w:eastAsia="宋体" w:cstheme="minorBidi"/>
          <w:color w:val="auto"/>
          <w:sz w:val="21"/>
          <w:szCs w:val="21"/>
          <w:highlight w:val="none"/>
          <w:lang w:val="en-US" w:eastAsia="zh-CN" w:bidi="ar-SA"/>
        </w:rPr>
        <w:t>投标人可根据“第二部分 相关资料表格”的“附表二：商务技术评分及价格权重表”自行编写。</w:t>
      </w:r>
    </w:p>
    <w:p w14:paraId="13C63E08">
      <w:pPr>
        <w:pageBreakBefore w:val="0"/>
        <w:kinsoku/>
        <w:topLinePunct w:val="0"/>
        <w:autoSpaceDE/>
        <w:autoSpaceDN/>
        <w:bidi w:val="0"/>
        <w:spacing w:after="0" w:line="360" w:lineRule="auto"/>
        <w:ind w:left="738" w:leftChars="200" w:hanging="298" w:hangingChars="142"/>
        <w:rPr>
          <w:rFonts w:ascii="宋体" w:hAnsi="宋体" w:eastAsia="宋体"/>
          <w:color w:val="auto"/>
          <w:sz w:val="21"/>
          <w:szCs w:val="21"/>
          <w:highlight w:val="none"/>
        </w:rPr>
      </w:pPr>
    </w:p>
    <w:p w14:paraId="60D6C487">
      <w:pPr>
        <w:pageBreakBefore w:val="0"/>
        <w:kinsoku/>
        <w:topLinePunct w:val="0"/>
        <w:autoSpaceDE/>
        <w:autoSpaceDN/>
        <w:bidi w:val="0"/>
        <w:spacing w:after="0" w:line="360" w:lineRule="auto"/>
        <w:ind w:left="738" w:leftChars="200" w:hanging="298" w:hangingChars="142"/>
        <w:rPr>
          <w:rFonts w:ascii="宋体" w:hAnsi="宋体" w:eastAsia="宋体"/>
          <w:color w:val="auto"/>
          <w:sz w:val="21"/>
          <w:szCs w:val="21"/>
          <w:highlight w:val="none"/>
        </w:rPr>
      </w:pPr>
    </w:p>
    <w:p w14:paraId="4CD783CE">
      <w:pPr>
        <w:pageBreakBefore w:val="0"/>
        <w:kinsoku/>
        <w:topLinePunct w:val="0"/>
        <w:autoSpaceDE/>
        <w:autoSpaceDN/>
        <w:bidi w:val="0"/>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14:paraId="7AA3FE1A">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162" w:name="_Toc2677"/>
      <w:r>
        <w:rPr>
          <w:rFonts w:hint="eastAsia" w:ascii="宋体" w:hAnsi="宋体" w:eastAsia="宋体"/>
          <w:color w:val="auto"/>
          <w:sz w:val="21"/>
          <w:szCs w:val="21"/>
          <w:highlight w:val="none"/>
        </w:rPr>
        <w:t>附件15. 实施本项目的有关人员资料表格式</w:t>
      </w:r>
      <w:bookmarkEnd w:id="162"/>
    </w:p>
    <w:p w14:paraId="5B52F6A6">
      <w:pPr>
        <w:pageBreakBefore w:val="0"/>
        <w:kinsoku/>
        <w:topLinePunct w:val="0"/>
        <w:autoSpaceDE/>
        <w:autoSpaceDN/>
        <w:bidi w:val="0"/>
        <w:spacing w:line="360" w:lineRule="auto"/>
        <w:jc w:val="center"/>
        <w:rPr>
          <w:rFonts w:ascii="宋体" w:hAnsi="宋体" w:eastAsia="宋体"/>
          <w:color w:val="auto"/>
          <w:sz w:val="21"/>
          <w:szCs w:val="21"/>
          <w:highlight w:val="none"/>
        </w:rPr>
      </w:pPr>
    </w:p>
    <w:p w14:paraId="2D3BFD0D">
      <w:pPr>
        <w:pageBreakBefore w:val="0"/>
        <w:kinsoku/>
        <w:topLinePunct w:val="0"/>
        <w:autoSpaceDE/>
        <w:autoSpaceDN/>
        <w:bidi w:val="0"/>
        <w:spacing w:line="360" w:lineRule="auto"/>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883"/>
        <w:gridCol w:w="1497"/>
        <w:gridCol w:w="820"/>
        <w:gridCol w:w="761"/>
        <w:gridCol w:w="916"/>
        <w:gridCol w:w="914"/>
        <w:gridCol w:w="847"/>
        <w:gridCol w:w="1172"/>
      </w:tblGrid>
      <w:tr w14:paraId="1C6C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vAlign w:val="center"/>
          </w:tcPr>
          <w:p w14:paraId="5803ED2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518" w:type="pct"/>
            <w:vAlign w:val="center"/>
          </w:tcPr>
          <w:p w14:paraId="4C5A5D3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878" w:type="pct"/>
            <w:vAlign w:val="center"/>
          </w:tcPr>
          <w:p w14:paraId="6103CD5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本项目拟任岗位</w:t>
            </w:r>
          </w:p>
        </w:tc>
        <w:tc>
          <w:tcPr>
            <w:tcW w:w="481" w:type="pct"/>
            <w:vAlign w:val="center"/>
          </w:tcPr>
          <w:p w14:paraId="72A611B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性别</w:t>
            </w:r>
          </w:p>
        </w:tc>
        <w:tc>
          <w:tcPr>
            <w:tcW w:w="446" w:type="pct"/>
            <w:vAlign w:val="center"/>
          </w:tcPr>
          <w:p w14:paraId="57B7B2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年龄</w:t>
            </w:r>
          </w:p>
        </w:tc>
        <w:tc>
          <w:tcPr>
            <w:tcW w:w="537" w:type="pct"/>
            <w:vAlign w:val="center"/>
          </w:tcPr>
          <w:p w14:paraId="1039231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技术职称</w:t>
            </w:r>
          </w:p>
        </w:tc>
        <w:tc>
          <w:tcPr>
            <w:tcW w:w="536" w:type="pct"/>
            <w:vAlign w:val="center"/>
          </w:tcPr>
          <w:p w14:paraId="3CC58F8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专 业</w:t>
            </w:r>
          </w:p>
        </w:tc>
        <w:tc>
          <w:tcPr>
            <w:tcW w:w="497" w:type="pct"/>
            <w:vAlign w:val="center"/>
          </w:tcPr>
          <w:p w14:paraId="7696056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资质证书</w:t>
            </w:r>
          </w:p>
        </w:tc>
        <w:tc>
          <w:tcPr>
            <w:tcW w:w="687" w:type="pct"/>
            <w:tcBorders>
              <w:right w:val="single" w:color="auto" w:sz="6" w:space="0"/>
            </w:tcBorders>
            <w:vAlign w:val="center"/>
          </w:tcPr>
          <w:p w14:paraId="3EC2425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14:paraId="5CE2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vAlign w:val="center"/>
          </w:tcPr>
          <w:p w14:paraId="623F07C6">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18" w:type="pct"/>
            <w:vAlign w:val="center"/>
          </w:tcPr>
          <w:p w14:paraId="2CCC5B15">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878" w:type="pct"/>
            <w:vAlign w:val="center"/>
          </w:tcPr>
          <w:p w14:paraId="122F466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81" w:type="pct"/>
            <w:vAlign w:val="center"/>
          </w:tcPr>
          <w:p w14:paraId="68980DFB">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46" w:type="pct"/>
            <w:vAlign w:val="center"/>
          </w:tcPr>
          <w:p w14:paraId="5FA4688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7" w:type="pct"/>
            <w:vAlign w:val="center"/>
          </w:tcPr>
          <w:p w14:paraId="4A016323">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6" w:type="pct"/>
            <w:vAlign w:val="center"/>
          </w:tcPr>
          <w:p w14:paraId="4D92BA73">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97" w:type="pct"/>
            <w:vAlign w:val="center"/>
          </w:tcPr>
          <w:p w14:paraId="0DFFF31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687" w:type="pct"/>
            <w:tcBorders>
              <w:right w:val="single" w:color="auto" w:sz="6" w:space="0"/>
            </w:tcBorders>
            <w:vAlign w:val="center"/>
          </w:tcPr>
          <w:p w14:paraId="3AB6EAF8">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4EFD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vAlign w:val="center"/>
          </w:tcPr>
          <w:p w14:paraId="3323E55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18" w:type="pct"/>
            <w:vAlign w:val="center"/>
          </w:tcPr>
          <w:p w14:paraId="3067C8FB">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878" w:type="pct"/>
            <w:vAlign w:val="center"/>
          </w:tcPr>
          <w:p w14:paraId="27AD6FA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81" w:type="pct"/>
            <w:vAlign w:val="center"/>
          </w:tcPr>
          <w:p w14:paraId="3EF1085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46" w:type="pct"/>
            <w:vAlign w:val="center"/>
          </w:tcPr>
          <w:p w14:paraId="72C5523A">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7" w:type="pct"/>
            <w:vAlign w:val="center"/>
          </w:tcPr>
          <w:p w14:paraId="33FD917F">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6" w:type="pct"/>
            <w:vAlign w:val="center"/>
          </w:tcPr>
          <w:p w14:paraId="26CEF70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97" w:type="pct"/>
            <w:vAlign w:val="center"/>
          </w:tcPr>
          <w:p w14:paraId="611D5DC5">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687" w:type="pct"/>
            <w:tcBorders>
              <w:right w:val="single" w:color="auto" w:sz="6" w:space="0"/>
            </w:tcBorders>
            <w:vAlign w:val="center"/>
          </w:tcPr>
          <w:p w14:paraId="2AA068C5">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3F2A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vAlign w:val="center"/>
          </w:tcPr>
          <w:p w14:paraId="7E729D5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18" w:type="pct"/>
            <w:vAlign w:val="center"/>
          </w:tcPr>
          <w:p w14:paraId="3DB9AC0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878" w:type="pct"/>
            <w:vAlign w:val="center"/>
          </w:tcPr>
          <w:p w14:paraId="4B946562">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81" w:type="pct"/>
            <w:vAlign w:val="center"/>
          </w:tcPr>
          <w:p w14:paraId="4C8F097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46" w:type="pct"/>
            <w:vAlign w:val="center"/>
          </w:tcPr>
          <w:p w14:paraId="0E0927C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7" w:type="pct"/>
            <w:vAlign w:val="center"/>
          </w:tcPr>
          <w:p w14:paraId="1467370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6" w:type="pct"/>
            <w:vAlign w:val="center"/>
          </w:tcPr>
          <w:p w14:paraId="0135810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97" w:type="pct"/>
            <w:vAlign w:val="center"/>
          </w:tcPr>
          <w:p w14:paraId="4605086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687" w:type="pct"/>
            <w:tcBorders>
              <w:right w:val="single" w:color="auto" w:sz="6" w:space="0"/>
            </w:tcBorders>
            <w:vAlign w:val="center"/>
          </w:tcPr>
          <w:p w14:paraId="55F15ECF">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47AD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vAlign w:val="center"/>
          </w:tcPr>
          <w:p w14:paraId="4FBA4045">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18" w:type="pct"/>
            <w:vAlign w:val="center"/>
          </w:tcPr>
          <w:p w14:paraId="39571A82">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878" w:type="pct"/>
            <w:vAlign w:val="center"/>
          </w:tcPr>
          <w:p w14:paraId="47567F3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81" w:type="pct"/>
            <w:vAlign w:val="center"/>
          </w:tcPr>
          <w:p w14:paraId="2072FC5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46" w:type="pct"/>
            <w:vAlign w:val="center"/>
          </w:tcPr>
          <w:p w14:paraId="1620780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7" w:type="pct"/>
            <w:vAlign w:val="center"/>
          </w:tcPr>
          <w:p w14:paraId="156BB40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6" w:type="pct"/>
            <w:vAlign w:val="center"/>
          </w:tcPr>
          <w:p w14:paraId="5D9A765F">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97" w:type="pct"/>
            <w:vAlign w:val="center"/>
          </w:tcPr>
          <w:p w14:paraId="22E381A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687" w:type="pct"/>
            <w:tcBorders>
              <w:right w:val="single" w:color="auto" w:sz="6" w:space="0"/>
            </w:tcBorders>
            <w:vAlign w:val="center"/>
          </w:tcPr>
          <w:p w14:paraId="178EA687">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60C2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vAlign w:val="center"/>
          </w:tcPr>
          <w:p w14:paraId="7E688A3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18" w:type="pct"/>
            <w:vAlign w:val="center"/>
          </w:tcPr>
          <w:p w14:paraId="553AEDDA">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878" w:type="pct"/>
            <w:vAlign w:val="center"/>
          </w:tcPr>
          <w:p w14:paraId="279510F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81" w:type="pct"/>
            <w:vAlign w:val="center"/>
          </w:tcPr>
          <w:p w14:paraId="4070692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46" w:type="pct"/>
            <w:vAlign w:val="center"/>
          </w:tcPr>
          <w:p w14:paraId="16C23933">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7" w:type="pct"/>
            <w:vAlign w:val="center"/>
          </w:tcPr>
          <w:p w14:paraId="6445A525">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6" w:type="pct"/>
            <w:vAlign w:val="center"/>
          </w:tcPr>
          <w:p w14:paraId="617F375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97" w:type="pct"/>
            <w:vAlign w:val="center"/>
          </w:tcPr>
          <w:p w14:paraId="04B61C1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687" w:type="pct"/>
            <w:tcBorders>
              <w:right w:val="single" w:color="auto" w:sz="6" w:space="0"/>
            </w:tcBorders>
            <w:vAlign w:val="center"/>
          </w:tcPr>
          <w:p w14:paraId="021E4F0C">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0FB2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vAlign w:val="center"/>
          </w:tcPr>
          <w:p w14:paraId="631E767E">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18" w:type="pct"/>
            <w:vAlign w:val="center"/>
          </w:tcPr>
          <w:p w14:paraId="02072CA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878" w:type="pct"/>
            <w:vAlign w:val="center"/>
          </w:tcPr>
          <w:p w14:paraId="084253DA">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81" w:type="pct"/>
            <w:vAlign w:val="center"/>
          </w:tcPr>
          <w:p w14:paraId="72367A0A">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46" w:type="pct"/>
            <w:vAlign w:val="center"/>
          </w:tcPr>
          <w:p w14:paraId="6978D51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7" w:type="pct"/>
            <w:vAlign w:val="center"/>
          </w:tcPr>
          <w:p w14:paraId="70F7C66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6" w:type="pct"/>
            <w:vAlign w:val="center"/>
          </w:tcPr>
          <w:p w14:paraId="3FCA940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97" w:type="pct"/>
            <w:vAlign w:val="center"/>
          </w:tcPr>
          <w:p w14:paraId="34564256">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687" w:type="pct"/>
            <w:tcBorders>
              <w:right w:val="single" w:color="auto" w:sz="6" w:space="0"/>
            </w:tcBorders>
            <w:vAlign w:val="center"/>
          </w:tcPr>
          <w:p w14:paraId="3528B5E0">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4BB0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vAlign w:val="center"/>
          </w:tcPr>
          <w:p w14:paraId="64CE612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18" w:type="pct"/>
            <w:vAlign w:val="center"/>
          </w:tcPr>
          <w:p w14:paraId="1C23768C">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878" w:type="pct"/>
            <w:vAlign w:val="center"/>
          </w:tcPr>
          <w:p w14:paraId="231811D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81" w:type="pct"/>
            <w:vAlign w:val="center"/>
          </w:tcPr>
          <w:p w14:paraId="5B767FEF">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46" w:type="pct"/>
            <w:vAlign w:val="center"/>
          </w:tcPr>
          <w:p w14:paraId="5A1DCC66">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7" w:type="pct"/>
            <w:vAlign w:val="center"/>
          </w:tcPr>
          <w:p w14:paraId="3374C019">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6" w:type="pct"/>
            <w:vAlign w:val="center"/>
          </w:tcPr>
          <w:p w14:paraId="767AD8D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97" w:type="pct"/>
            <w:vAlign w:val="center"/>
          </w:tcPr>
          <w:p w14:paraId="641461B4">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687" w:type="pct"/>
            <w:tcBorders>
              <w:right w:val="single" w:color="auto" w:sz="6" w:space="0"/>
            </w:tcBorders>
            <w:vAlign w:val="center"/>
          </w:tcPr>
          <w:p w14:paraId="3AC6C2F9">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3A66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vAlign w:val="center"/>
          </w:tcPr>
          <w:p w14:paraId="1D005F6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18" w:type="pct"/>
            <w:vAlign w:val="center"/>
          </w:tcPr>
          <w:p w14:paraId="59BF5354">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878" w:type="pct"/>
            <w:vAlign w:val="center"/>
          </w:tcPr>
          <w:p w14:paraId="341EC523">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81" w:type="pct"/>
            <w:vAlign w:val="center"/>
          </w:tcPr>
          <w:p w14:paraId="7BB3B3C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46" w:type="pct"/>
            <w:vAlign w:val="center"/>
          </w:tcPr>
          <w:p w14:paraId="3D003A05">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7" w:type="pct"/>
            <w:vAlign w:val="center"/>
          </w:tcPr>
          <w:p w14:paraId="1DBAF0BB">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6" w:type="pct"/>
            <w:vAlign w:val="center"/>
          </w:tcPr>
          <w:p w14:paraId="11EEAEFA">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97" w:type="pct"/>
            <w:vAlign w:val="center"/>
          </w:tcPr>
          <w:p w14:paraId="5204227E">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687" w:type="pct"/>
            <w:tcBorders>
              <w:right w:val="single" w:color="auto" w:sz="6" w:space="0"/>
            </w:tcBorders>
            <w:vAlign w:val="center"/>
          </w:tcPr>
          <w:p w14:paraId="3F8FC8E5">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5B7F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vAlign w:val="center"/>
          </w:tcPr>
          <w:p w14:paraId="0DD71ADB">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18" w:type="pct"/>
            <w:vAlign w:val="center"/>
          </w:tcPr>
          <w:p w14:paraId="7F3E7A7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878" w:type="pct"/>
            <w:vAlign w:val="center"/>
          </w:tcPr>
          <w:p w14:paraId="63D56DDF">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81" w:type="pct"/>
            <w:vAlign w:val="center"/>
          </w:tcPr>
          <w:p w14:paraId="07A5E1B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46" w:type="pct"/>
            <w:vAlign w:val="center"/>
          </w:tcPr>
          <w:p w14:paraId="45FBB70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7" w:type="pct"/>
            <w:vAlign w:val="center"/>
          </w:tcPr>
          <w:p w14:paraId="072798A8">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6" w:type="pct"/>
            <w:vAlign w:val="center"/>
          </w:tcPr>
          <w:p w14:paraId="7DB0977A">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97" w:type="pct"/>
            <w:vAlign w:val="center"/>
          </w:tcPr>
          <w:p w14:paraId="0A1DEA2E">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687" w:type="pct"/>
            <w:tcBorders>
              <w:right w:val="single" w:color="auto" w:sz="6" w:space="0"/>
            </w:tcBorders>
            <w:vAlign w:val="center"/>
          </w:tcPr>
          <w:p w14:paraId="5FF6F188">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r w14:paraId="0616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pct"/>
            <w:vAlign w:val="center"/>
          </w:tcPr>
          <w:p w14:paraId="032E061A">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18" w:type="pct"/>
            <w:vAlign w:val="center"/>
          </w:tcPr>
          <w:p w14:paraId="21660617">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878" w:type="pct"/>
            <w:vAlign w:val="center"/>
          </w:tcPr>
          <w:p w14:paraId="091FA92F">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81" w:type="pct"/>
            <w:vAlign w:val="center"/>
          </w:tcPr>
          <w:p w14:paraId="3AAEC2A1">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46" w:type="pct"/>
            <w:vAlign w:val="center"/>
          </w:tcPr>
          <w:p w14:paraId="3CFD9670">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7" w:type="pct"/>
            <w:vAlign w:val="center"/>
          </w:tcPr>
          <w:p w14:paraId="7081171D">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536" w:type="pct"/>
            <w:vAlign w:val="center"/>
          </w:tcPr>
          <w:p w14:paraId="42CF0BCC">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497" w:type="pct"/>
            <w:vAlign w:val="center"/>
          </w:tcPr>
          <w:p w14:paraId="493489A2">
            <w:pPr>
              <w:pageBreakBefore w:val="0"/>
              <w:kinsoku/>
              <w:topLinePunct w:val="0"/>
              <w:autoSpaceDE/>
              <w:autoSpaceDN/>
              <w:bidi w:val="0"/>
              <w:spacing w:line="360" w:lineRule="auto"/>
              <w:jc w:val="center"/>
              <w:rPr>
                <w:rFonts w:ascii="宋体" w:hAnsi="宋体" w:eastAsia="宋体"/>
                <w:color w:val="auto"/>
                <w:sz w:val="21"/>
                <w:szCs w:val="21"/>
                <w:highlight w:val="none"/>
              </w:rPr>
            </w:pPr>
          </w:p>
        </w:tc>
        <w:tc>
          <w:tcPr>
            <w:tcW w:w="687" w:type="pct"/>
            <w:tcBorders>
              <w:right w:val="single" w:color="auto" w:sz="6" w:space="0"/>
            </w:tcBorders>
            <w:vAlign w:val="center"/>
          </w:tcPr>
          <w:p w14:paraId="4A70CF99">
            <w:pPr>
              <w:pageBreakBefore w:val="0"/>
              <w:kinsoku/>
              <w:topLinePunct w:val="0"/>
              <w:autoSpaceDE/>
              <w:autoSpaceDN/>
              <w:bidi w:val="0"/>
              <w:spacing w:line="360" w:lineRule="auto"/>
              <w:jc w:val="center"/>
              <w:rPr>
                <w:rFonts w:ascii="宋体" w:hAnsi="宋体" w:eastAsia="宋体"/>
                <w:color w:val="auto"/>
                <w:sz w:val="21"/>
                <w:szCs w:val="21"/>
                <w:highlight w:val="none"/>
              </w:rPr>
            </w:pPr>
          </w:p>
        </w:tc>
      </w:tr>
    </w:tbl>
    <w:p w14:paraId="40CADB24">
      <w:pPr>
        <w:pageBreakBefore w:val="0"/>
        <w:kinsoku/>
        <w:topLinePunct w:val="0"/>
        <w:autoSpaceDE/>
        <w:autoSpaceDN/>
        <w:bidi w:val="0"/>
        <w:spacing w:line="360" w:lineRule="auto"/>
        <w:ind w:firstLine="178" w:firstLineChars="85"/>
        <w:rPr>
          <w:rFonts w:ascii="宋体" w:hAnsi="宋体" w:eastAsia="宋体"/>
          <w:color w:val="auto"/>
          <w:sz w:val="21"/>
          <w:szCs w:val="21"/>
          <w:highlight w:val="none"/>
        </w:rPr>
      </w:pPr>
    </w:p>
    <w:p w14:paraId="321494BB">
      <w:pPr>
        <w:pageBreakBefore w:val="0"/>
        <w:kinsoku/>
        <w:topLinePunct w:val="0"/>
        <w:autoSpaceDE/>
        <w:autoSpaceDN/>
        <w:bidi w:val="0"/>
        <w:spacing w:line="360" w:lineRule="auto"/>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附有关证明文件（复印件加盖公章）</w:t>
      </w:r>
    </w:p>
    <w:p w14:paraId="2E4FF43E">
      <w:pPr>
        <w:pageBreakBefore w:val="0"/>
        <w:kinsoku/>
        <w:topLinePunct w:val="0"/>
        <w:autoSpaceDE/>
        <w:autoSpaceDN/>
        <w:bidi w:val="0"/>
        <w:spacing w:line="360" w:lineRule="auto"/>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14:paraId="44450F3E">
      <w:pPr>
        <w:pageBreakBefore w:val="0"/>
        <w:kinsoku/>
        <w:topLinePunct w:val="0"/>
        <w:autoSpaceDE/>
        <w:autoSpaceDN/>
        <w:bidi w:val="0"/>
        <w:spacing w:line="360" w:lineRule="auto"/>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18A869F3">
      <w:pPr>
        <w:pageBreakBefore w:val="0"/>
        <w:kinsoku/>
        <w:topLinePunct w:val="0"/>
        <w:autoSpaceDE/>
        <w:autoSpaceDN/>
        <w:bidi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14:paraId="008219E9">
      <w:pPr>
        <w:pStyle w:val="26"/>
        <w:pageBreakBefore w:val="0"/>
        <w:numPr>
          <w:ilvl w:val="0"/>
          <w:numId w:val="11"/>
        </w:numPr>
        <w:kinsoku/>
        <w:topLinePunct w:val="0"/>
        <w:autoSpaceDE/>
        <w:autoSpaceDN/>
        <w:bidi w:val="0"/>
        <w:spacing w:line="360" w:lineRule="auto"/>
        <w:ind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投标人可按项目的实际需要</w:t>
      </w:r>
      <w:r>
        <w:rPr>
          <w:rFonts w:hint="eastAsia" w:ascii="宋体" w:hAnsi="宋体" w:eastAsia="宋体"/>
          <w:color w:val="auto"/>
          <w:sz w:val="21"/>
          <w:szCs w:val="21"/>
          <w:highlight w:val="none"/>
          <w:lang w:eastAsia="zh-CN"/>
        </w:rPr>
        <w:t>或招标文件的要求</w:t>
      </w:r>
      <w:r>
        <w:rPr>
          <w:rFonts w:hint="eastAsia" w:ascii="宋体" w:hAnsi="宋体" w:eastAsia="宋体"/>
          <w:color w:val="auto"/>
          <w:sz w:val="21"/>
          <w:szCs w:val="21"/>
          <w:highlight w:val="none"/>
        </w:rPr>
        <w:t>提供本表格。</w:t>
      </w:r>
    </w:p>
    <w:p w14:paraId="083A7C76">
      <w:pPr>
        <w:pStyle w:val="26"/>
        <w:pageBreakBefore w:val="0"/>
        <w:numPr>
          <w:ilvl w:val="0"/>
          <w:numId w:val="11"/>
        </w:numPr>
        <w:kinsoku/>
        <w:topLinePunct w:val="0"/>
        <w:autoSpaceDE/>
        <w:autoSpaceDN/>
        <w:bidi w:val="0"/>
        <w:spacing w:line="360" w:lineRule="auto"/>
        <w:ind w:firstLineChars="0"/>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14:paraId="32058CC9">
      <w:pPr>
        <w:pStyle w:val="26"/>
        <w:pageBreakBefore w:val="0"/>
        <w:numPr>
          <w:ilvl w:val="0"/>
          <w:numId w:val="11"/>
        </w:numPr>
        <w:kinsoku/>
        <w:topLinePunct w:val="0"/>
        <w:autoSpaceDE/>
        <w:autoSpaceDN/>
        <w:bidi w:val="0"/>
        <w:spacing w:line="360" w:lineRule="auto"/>
        <w:ind w:firstLineChars="0"/>
        <w:rPr>
          <w:rFonts w:ascii="宋体" w:hAnsi="宋体" w:eastAsia="宋体" w:cs="Times New Roman"/>
          <w:color w:val="auto"/>
          <w:sz w:val="21"/>
          <w:szCs w:val="21"/>
          <w:highlight w:val="none"/>
        </w:rPr>
      </w:pPr>
      <w:r>
        <w:rPr>
          <w:rFonts w:hint="eastAsia" w:ascii="宋体" w:hAnsi="宋体" w:eastAsia="宋体"/>
          <w:color w:val="auto"/>
          <w:sz w:val="21"/>
          <w:szCs w:val="21"/>
          <w:highlight w:val="none"/>
          <w:lang w:eastAsia="zh-CN"/>
        </w:rPr>
        <w:t>如本项目不涉及此表内容，则无需提供此表。</w:t>
      </w:r>
      <w:r>
        <w:rPr>
          <w:rFonts w:hint="eastAsia" w:ascii="宋体" w:hAnsi="宋体" w:eastAsia="宋体"/>
          <w:color w:val="auto"/>
          <w:sz w:val="21"/>
          <w:szCs w:val="21"/>
          <w:highlight w:val="none"/>
        </w:rPr>
        <w:br w:type="page"/>
      </w:r>
    </w:p>
    <w:p w14:paraId="6EEE7CC7">
      <w:pPr>
        <w:pStyle w:val="5"/>
        <w:pageBreakBefore w:val="0"/>
        <w:widowControl w:val="0"/>
        <w:kinsoku/>
        <w:overflowPunct w:val="0"/>
        <w:topLinePunct w:val="0"/>
        <w:autoSpaceDE/>
        <w:autoSpaceDN/>
        <w:bidi w:val="0"/>
        <w:spacing w:before="0" w:after="0" w:line="360" w:lineRule="auto"/>
        <w:rPr>
          <w:rFonts w:ascii="宋体" w:hAnsi="宋体" w:eastAsia="宋体"/>
          <w:color w:val="auto"/>
          <w:sz w:val="21"/>
          <w:szCs w:val="21"/>
          <w:highlight w:val="none"/>
        </w:rPr>
      </w:pPr>
      <w:bookmarkStart w:id="163" w:name="_Toc27215"/>
      <w:r>
        <w:rPr>
          <w:rFonts w:hint="eastAsia" w:ascii="宋体" w:hAnsi="宋体" w:eastAsia="宋体"/>
          <w:color w:val="auto"/>
          <w:sz w:val="21"/>
          <w:szCs w:val="21"/>
          <w:highlight w:val="none"/>
        </w:rPr>
        <w:t>附件16.投标货物说明一览表格式</w:t>
      </w:r>
      <w:bookmarkEnd w:id="163"/>
    </w:p>
    <w:p w14:paraId="092E09E8">
      <w:pPr>
        <w:pageBreakBefore w:val="0"/>
        <w:kinsoku/>
        <w:topLinePunct w:val="0"/>
        <w:autoSpaceDE/>
        <w:autoSpaceDN/>
        <w:bidi w:val="0"/>
        <w:spacing w:line="360" w:lineRule="auto"/>
        <w:jc w:val="center"/>
        <w:rPr>
          <w:rFonts w:ascii="黑体" w:eastAsia="黑体"/>
          <w:color w:val="auto"/>
          <w:sz w:val="28"/>
          <w:szCs w:val="28"/>
          <w:highlight w:val="none"/>
        </w:rPr>
      </w:pPr>
    </w:p>
    <w:p w14:paraId="1B5ACF25">
      <w:pPr>
        <w:pageBreakBefore w:val="0"/>
        <w:kinsoku/>
        <w:topLinePunct w:val="0"/>
        <w:autoSpaceDE/>
        <w:autoSpaceDN/>
        <w:bidi w:val="0"/>
        <w:spacing w:line="360" w:lineRule="auto"/>
        <w:jc w:val="center"/>
        <w:rPr>
          <w:rFonts w:ascii="黑体" w:eastAsia="黑体" w:cs="Times New Roman"/>
          <w:color w:val="auto"/>
          <w:sz w:val="28"/>
          <w:szCs w:val="28"/>
          <w:highlight w:val="none"/>
        </w:rPr>
      </w:pPr>
      <w:r>
        <w:rPr>
          <w:rFonts w:hint="eastAsia" w:ascii="黑体" w:eastAsia="黑体" w:cs="Times New Roman"/>
          <w:color w:val="auto"/>
          <w:sz w:val="28"/>
          <w:szCs w:val="28"/>
          <w:highlight w:val="none"/>
        </w:rPr>
        <w:t>投标货物说明一览表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244"/>
        <w:gridCol w:w="1133"/>
        <w:gridCol w:w="850"/>
        <w:gridCol w:w="850"/>
        <w:gridCol w:w="850"/>
        <w:gridCol w:w="850"/>
        <w:gridCol w:w="1160"/>
        <w:gridCol w:w="914"/>
      </w:tblGrid>
      <w:tr w14:paraId="45DF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14:paraId="22398910">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730" w:type="pct"/>
            <w:vAlign w:val="center"/>
          </w:tcPr>
          <w:p w14:paraId="0DA77AF5">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货物名称</w:t>
            </w:r>
          </w:p>
        </w:tc>
        <w:tc>
          <w:tcPr>
            <w:tcW w:w="665" w:type="pct"/>
            <w:vAlign w:val="center"/>
          </w:tcPr>
          <w:p w14:paraId="7B5AD936">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规格型号</w:t>
            </w:r>
          </w:p>
        </w:tc>
        <w:tc>
          <w:tcPr>
            <w:tcW w:w="499" w:type="pct"/>
            <w:vAlign w:val="center"/>
          </w:tcPr>
          <w:p w14:paraId="58F98F3B">
            <w:pPr>
              <w:pageBreakBefore w:val="0"/>
              <w:kinsoku/>
              <w:topLinePunct w:val="0"/>
              <w:autoSpaceDE/>
              <w:autoSpaceDN/>
              <w:bidi w:val="0"/>
              <w:spacing w:after="0"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品牌</w:t>
            </w:r>
          </w:p>
        </w:tc>
        <w:tc>
          <w:tcPr>
            <w:tcW w:w="499" w:type="pct"/>
            <w:vAlign w:val="center"/>
          </w:tcPr>
          <w:p w14:paraId="0B85CC3C">
            <w:pPr>
              <w:pageBreakBefore w:val="0"/>
              <w:kinsoku/>
              <w:topLinePunct w:val="0"/>
              <w:autoSpaceDE/>
              <w:autoSpaceDN/>
              <w:bidi w:val="0"/>
              <w:spacing w:after="0"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制造商</w:t>
            </w:r>
          </w:p>
        </w:tc>
        <w:tc>
          <w:tcPr>
            <w:tcW w:w="499" w:type="pct"/>
            <w:vAlign w:val="center"/>
          </w:tcPr>
          <w:p w14:paraId="0BBCB194">
            <w:pPr>
              <w:pageBreakBefore w:val="0"/>
              <w:kinsoku/>
              <w:topLinePunct w:val="0"/>
              <w:autoSpaceDE/>
              <w:autoSpaceDN/>
              <w:bidi w:val="0"/>
              <w:spacing w:after="0"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产地</w:t>
            </w:r>
          </w:p>
        </w:tc>
        <w:tc>
          <w:tcPr>
            <w:tcW w:w="499" w:type="pct"/>
            <w:vAlign w:val="center"/>
          </w:tcPr>
          <w:p w14:paraId="14498E12">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数量</w:t>
            </w:r>
          </w:p>
        </w:tc>
        <w:tc>
          <w:tcPr>
            <w:tcW w:w="681" w:type="pct"/>
            <w:vAlign w:val="center"/>
          </w:tcPr>
          <w:p w14:paraId="7CB9675F">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单价</w:t>
            </w:r>
          </w:p>
        </w:tc>
        <w:tc>
          <w:tcPr>
            <w:tcW w:w="536" w:type="pct"/>
            <w:vAlign w:val="center"/>
          </w:tcPr>
          <w:p w14:paraId="33258ED6">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备注</w:t>
            </w:r>
          </w:p>
        </w:tc>
      </w:tr>
      <w:tr w14:paraId="07FB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14:paraId="379A0C47">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730" w:type="pct"/>
            <w:vAlign w:val="center"/>
          </w:tcPr>
          <w:p w14:paraId="7C8DB283">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65" w:type="pct"/>
            <w:vAlign w:val="center"/>
          </w:tcPr>
          <w:p w14:paraId="7D932FB0">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4F49916B">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75A4B6D1">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2CC5137E">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35753A01">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81" w:type="pct"/>
            <w:vAlign w:val="center"/>
          </w:tcPr>
          <w:p w14:paraId="5EE91C32">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536" w:type="pct"/>
            <w:vAlign w:val="center"/>
          </w:tcPr>
          <w:p w14:paraId="587B257E">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r>
      <w:tr w14:paraId="2E08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14:paraId="6811B121">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730" w:type="pct"/>
            <w:vAlign w:val="center"/>
          </w:tcPr>
          <w:p w14:paraId="34EEA39D">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65" w:type="pct"/>
            <w:vAlign w:val="center"/>
          </w:tcPr>
          <w:p w14:paraId="18B0D407">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6B07AAB6">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3623828D">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23A72825">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1B19F978">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81" w:type="pct"/>
            <w:vAlign w:val="center"/>
          </w:tcPr>
          <w:p w14:paraId="57B3C0DF">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536" w:type="pct"/>
            <w:vAlign w:val="center"/>
          </w:tcPr>
          <w:p w14:paraId="767CEAF5">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r>
      <w:tr w14:paraId="1E3A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14:paraId="07429202">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730" w:type="pct"/>
            <w:vAlign w:val="center"/>
          </w:tcPr>
          <w:p w14:paraId="27BEA4BD">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65" w:type="pct"/>
            <w:vAlign w:val="center"/>
          </w:tcPr>
          <w:p w14:paraId="6D25BF7A">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7D74060F">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60192A18">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4AA3F7D0">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676E6078">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81" w:type="pct"/>
            <w:vAlign w:val="center"/>
          </w:tcPr>
          <w:p w14:paraId="4B4CB414">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536" w:type="pct"/>
            <w:vAlign w:val="center"/>
          </w:tcPr>
          <w:p w14:paraId="32F06A19">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r>
      <w:tr w14:paraId="1232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14:paraId="2068B79D">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730" w:type="pct"/>
            <w:vAlign w:val="center"/>
          </w:tcPr>
          <w:p w14:paraId="1683FFA0">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65" w:type="pct"/>
            <w:vAlign w:val="center"/>
          </w:tcPr>
          <w:p w14:paraId="58485EA3">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0E0CF124">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550D3276">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3BE9D3F0">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61330B3E">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81" w:type="pct"/>
            <w:vAlign w:val="center"/>
          </w:tcPr>
          <w:p w14:paraId="3B594AEE">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536" w:type="pct"/>
            <w:vAlign w:val="center"/>
          </w:tcPr>
          <w:p w14:paraId="11F6AFAB">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r>
      <w:tr w14:paraId="6D1A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14:paraId="26AA28B5">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730" w:type="pct"/>
            <w:vAlign w:val="center"/>
          </w:tcPr>
          <w:p w14:paraId="5BC5B34B">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65" w:type="pct"/>
            <w:vAlign w:val="center"/>
          </w:tcPr>
          <w:p w14:paraId="1F44B171">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58F92402">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61C36E69">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21A3EB04">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3E201349">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81" w:type="pct"/>
            <w:vAlign w:val="center"/>
          </w:tcPr>
          <w:p w14:paraId="3FE15AF6">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536" w:type="pct"/>
            <w:vAlign w:val="center"/>
          </w:tcPr>
          <w:p w14:paraId="0EB014F5">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r>
      <w:tr w14:paraId="05FC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14:paraId="6D59957D">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730" w:type="pct"/>
            <w:vAlign w:val="center"/>
          </w:tcPr>
          <w:p w14:paraId="516ACC4A">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65" w:type="pct"/>
            <w:vAlign w:val="center"/>
          </w:tcPr>
          <w:p w14:paraId="29D493BF">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69499E08">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28F9D4B9">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3A549D73">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499" w:type="pct"/>
            <w:vAlign w:val="center"/>
          </w:tcPr>
          <w:p w14:paraId="29F3090E">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681" w:type="pct"/>
            <w:vAlign w:val="center"/>
          </w:tcPr>
          <w:p w14:paraId="1CB6FE3C">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c>
          <w:tcPr>
            <w:tcW w:w="536" w:type="pct"/>
            <w:vAlign w:val="center"/>
          </w:tcPr>
          <w:p w14:paraId="324F1B52">
            <w:pPr>
              <w:pageBreakBefore w:val="0"/>
              <w:kinsoku/>
              <w:topLinePunct w:val="0"/>
              <w:autoSpaceDE/>
              <w:autoSpaceDN/>
              <w:bidi w:val="0"/>
              <w:spacing w:after="0" w:line="360" w:lineRule="auto"/>
              <w:jc w:val="center"/>
              <w:rPr>
                <w:rFonts w:ascii="宋体" w:hAnsi="宋体" w:eastAsia="宋体" w:cs="Times New Roman"/>
                <w:color w:val="auto"/>
                <w:sz w:val="21"/>
                <w:szCs w:val="21"/>
                <w:highlight w:val="none"/>
              </w:rPr>
            </w:pPr>
          </w:p>
        </w:tc>
      </w:tr>
    </w:tbl>
    <w:p w14:paraId="5DA58A29">
      <w:pPr>
        <w:pageBreakBefore w:val="0"/>
        <w:kinsoku/>
        <w:topLinePunct w:val="0"/>
        <w:autoSpaceDE/>
        <w:autoSpaceDN/>
        <w:bidi w:val="0"/>
        <w:spacing w:after="0" w:line="360" w:lineRule="auto"/>
        <w:rPr>
          <w:rFonts w:ascii="宋体" w:hAnsi="宋体" w:eastAsia="宋体" w:cs="Times New Roman"/>
          <w:color w:val="auto"/>
          <w:sz w:val="21"/>
          <w:szCs w:val="21"/>
          <w:highlight w:val="none"/>
        </w:rPr>
      </w:pPr>
    </w:p>
    <w:p w14:paraId="49C97511">
      <w:pPr>
        <w:pageBreakBefore w:val="0"/>
        <w:kinsoku/>
        <w:topLinePunct w:val="0"/>
        <w:autoSpaceDE/>
        <w:autoSpaceDN/>
        <w:bidi w:val="0"/>
        <w:spacing w:line="36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投标人代表签字：</w:t>
      </w:r>
    </w:p>
    <w:p w14:paraId="20777A00">
      <w:pPr>
        <w:pageBreakBefore w:val="0"/>
        <w:kinsoku/>
        <w:topLinePunct w:val="0"/>
        <w:autoSpaceDE/>
        <w:autoSpaceDN/>
        <w:bidi w:val="0"/>
        <w:spacing w:line="36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投标人盖章：</w:t>
      </w:r>
    </w:p>
    <w:p w14:paraId="2929CFA1">
      <w:pPr>
        <w:pageBreakBefore w:val="0"/>
        <w:kinsoku/>
        <w:topLinePunct w:val="0"/>
        <w:autoSpaceDE/>
        <w:autoSpaceDN/>
        <w:bidi w:val="0"/>
        <w:spacing w:line="360" w:lineRule="auto"/>
        <w:rPr>
          <w:rFonts w:ascii="宋体" w:hAnsi="宋体" w:eastAsia="宋体" w:cs="Times New Roman"/>
          <w:color w:val="auto"/>
          <w:sz w:val="21"/>
          <w:szCs w:val="21"/>
          <w:highlight w:val="none"/>
        </w:rPr>
      </w:pPr>
    </w:p>
    <w:p w14:paraId="5EEFF431">
      <w:pPr>
        <w:pageBreakBefore w:val="0"/>
        <w:kinsoku/>
        <w:topLinePunct w:val="0"/>
        <w:autoSpaceDE/>
        <w:autoSpaceDN/>
        <w:bidi w:val="0"/>
        <w:spacing w:line="36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w:t>
      </w:r>
    </w:p>
    <w:p w14:paraId="36FB9DBA">
      <w:pPr>
        <w:pStyle w:val="26"/>
        <w:pageBreakBefore w:val="0"/>
        <w:kinsoku/>
        <w:topLinePunct w:val="0"/>
        <w:autoSpaceDE/>
        <w:autoSpaceDN/>
        <w:bidi w:val="0"/>
        <w:spacing w:line="36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1、投标人可按项目的实际需要提供本表格。</w:t>
      </w:r>
    </w:p>
    <w:p w14:paraId="788AA5F7">
      <w:pPr>
        <w:pStyle w:val="26"/>
        <w:pageBreakBefore w:val="0"/>
        <w:kinsoku/>
        <w:topLinePunct w:val="0"/>
        <w:autoSpaceDE/>
        <w:autoSpaceDN/>
        <w:bidi w:val="0"/>
        <w:spacing w:line="360" w:lineRule="auto"/>
        <w:ind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2、该表格为参考格式，投标人可按实际情况自行制订。</w:t>
      </w:r>
    </w:p>
    <w:p w14:paraId="35D34AEC">
      <w:pPr>
        <w:pStyle w:val="26"/>
        <w:pageBreakBefore w:val="0"/>
        <w:kinsoku/>
        <w:topLinePunct w:val="0"/>
        <w:autoSpaceDE/>
        <w:autoSpaceDN/>
        <w:bidi w:val="0"/>
        <w:spacing w:line="36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3、如本项目不涉及此表内容，则无需提供此表。</w:t>
      </w:r>
      <w:r>
        <w:rPr>
          <w:rFonts w:hint="eastAsia" w:ascii="宋体" w:hAnsi="宋体" w:eastAsia="宋体"/>
          <w:color w:val="auto"/>
          <w:sz w:val="21"/>
          <w:szCs w:val="21"/>
          <w:highlight w:val="none"/>
        </w:rPr>
        <w:br w:type="page"/>
      </w:r>
    </w:p>
    <w:p w14:paraId="40C13399">
      <w:pPr>
        <w:pStyle w:val="5"/>
        <w:pageBreakBefore w:val="0"/>
        <w:widowControl w:val="0"/>
        <w:kinsoku/>
        <w:overflowPunct w:val="0"/>
        <w:topLinePunct w:val="0"/>
        <w:autoSpaceDE/>
        <w:autoSpaceDN/>
        <w:bidi w:val="0"/>
        <w:spacing w:before="0" w:after="0" w:line="360" w:lineRule="auto"/>
        <w:rPr>
          <w:rFonts w:ascii="楷体_GB2312" w:eastAsia="楷体_GB2312"/>
          <w:color w:val="auto"/>
          <w:sz w:val="24"/>
          <w:highlight w:val="none"/>
        </w:rPr>
      </w:pPr>
      <w:bookmarkStart w:id="164" w:name="_Toc22034"/>
      <w:r>
        <w:rPr>
          <w:rFonts w:hint="eastAsia" w:ascii="宋体" w:hAnsi="宋体" w:eastAsia="宋体"/>
          <w:color w:val="auto"/>
          <w:sz w:val="21"/>
          <w:szCs w:val="21"/>
          <w:highlight w:val="none"/>
        </w:rPr>
        <w:t>附件17.在经营活动中没有重大违法记录的书面声明格式</w:t>
      </w:r>
      <w:bookmarkEnd w:id="164"/>
    </w:p>
    <w:p w14:paraId="36AED803">
      <w:pPr>
        <w:pageBreakBefore w:val="0"/>
        <w:kinsoku/>
        <w:topLinePunct w:val="0"/>
        <w:autoSpaceDE/>
        <w:autoSpaceDN/>
        <w:bidi w:val="0"/>
        <w:spacing w:line="360" w:lineRule="auto"/>
        <w:rPr>
          <w:color w:val="auto"/>
          <w:highlight w:val="none"/>
        </w:rPr>
      </w:pPr>
    </w:p>
    <w:p w14:paraId="7C79858F">
      <w:pPr>
        <w:pageBreakBefore w:val="0"/>
        <w:kinsoku/>
        <w:topLinePunct w:val="0"/>
        <w:autoSpaceDE/>
        <w:autoSpaceDN/>
        <w:bidi w:val="0"/>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投标人在经营活动中没有重大违法记录的书面声明</w:t>
      </w:r>
    </w:p>
    <w:p w14:paraId="5457B80B">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p>
    <w:p w14:paraId="5F66C1B5">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三方诚信招标有限公司东莞分公司：</w:t>
      </w:r>
    </w:p>
    <w:p w14:paraId="6CDE9032">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我公司郑重承诺：在参加“</w:t>
      </w:r>
      <w:r>
        <w:rPr>
          <w:rFonts w:hint="eastAsia" w:ascii="宋体" w:hAnsi="宋体" w:eastAsia="宋体" w:cs="宋体"/>
          <w:color w:val="auto"/>
          <w:sz w:val="21"/>
          <w:szCs w:val="21"/>
          <w:highlight w:val="none"/>
          <w:u w:val="single"/>
        </w:rPr>
        <w:t xml:space="preserve">       （采购项目名称）</w:t>
      </w:r>
      <w:r>
        <w:rPr>
          <w:rFonts w:hint="eastAsia" w:ascii="宋体" w:hAnsi="宋体" w:eastAsia="宋体" w:cs="宋体"/>
          <w:color w:val="auto"/>
          <w:sz w:val="21"/>
          <w:szCs w:val="21"/>
          <w:highlight w:val="none"/>
        </w:rPr>
        <w:t>”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政府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14:paraId="63844B08">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我公司以上承诺均为真实有效，绝无任何虚假、伪造的成份，否则，愿承担相应的后果和法律责任。</w:t>
      </w:r>
    </w:p>
    <w:p w14:paraId="73475A27">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p>
    <w:p w14:paraId="383766E3">
      <w:pPr>
        <w:pageBreakBefore w:val="0"/>
        <w:kinsoku/>
        <w:topLinePunct w:val="0"/>
        <w:autoSpaceDE/>
        <w:autoSpaceDN/>
        <w:bidi w:val="0"/>
        <w:spacing w:after="0" w:line="360" w:lineRule="auto"/>
        <w:rPr>
          <w:rFonts w:ascii="宋体" w:hAnsi="宋体" w:eastAsia="宋体" w:cs="宋体"/>
          <w:color w:val="auto"/>
          <w:sz w:val="21"/>
          <w:szCs w:val="21"/>
          <w:highlight w:val="none"/>
        </w:rPr>
      </w:pPr>
    </w:p>
    <w:p w14:paraId="377B59BF">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w:t>
      </w:r>
    </w:p>
    <w:p w14:paraId="40B9C2B2">
      <w:pPr>
        <w:pageBreakBefore w:val="0"/>
        <w:kinsoku/>
        <w:topLinePunct w:val="0"/>
        <w:autoSpaceDE/>
        <w:autoSpaceDN/>
        <w:bidi w:val="0"/>
        <w:spacing w:after="0" w:line="360" w:lineRule="auto"/>
        <w:rPr>
          <w:rFonts w:ascii="宋体" w:hAnsi="宋体" w:eastAsia="宋体" w:cs="宋体"/>
          <w:color w:val="auto"/>
          <w:sz w:val="21"/>
          <w:szCs w:val="21"/>
          <w:highlight w:val="none"/>
        </w:rPr>
      </w:pPr>
    </w:p>
    <w:p w14:paraId="5964DD85">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63FF6D83">
      <w:pPr>
        <w:pageBreakBefore w:val="0"/>
        <w:kinsoku/>
        <w:topLinePunct w:val="0"/>
        <w:autoSpaceDE/>
        <w:autoSpaceDN/>
        <w:bidi w:val="0"/>
        <w:adjustRightInd/>
        <w:snapToGrid/>
        <w:spacing w:line="360" w:lineRule="auto"/>
        <w:rPr>
          <w:rFonts w:ascii="楷体_GB2312" w:eastAsia="楷体_GB2312" w:hAnsiTheme="majorHAnsi" w:cstheme="majorBidi"/>
          <w:b/>
          <w:bCs/>
          <w:color w:val="auto"/>
          <w:sz w:val="24"/>
          <w:szCs w:val="28"/>
          <w:highlight w:val="none"/>
        </w:rPr>
      </w:pPr>
      <w:bookmarkStart w:id="165" w:name="_Toc417907703"/>
      <w:r>
        <w:rPr>
          <w:rFonts w:ascii="楷体_GB2312" w:eastAsia="楷体_GB2312"/>
          <w:color w:val="auto"/>
          <w:sz w:val="24"/>
          <w:highlight w:val="none"/>
        </w:rPr>
        <w:br w:type="page"/>
      </w:r>
    </w:p>
    <w:bookmarkEnd w:id="165"/>
    <w:p w14:paraId="66BFD318">
      <w:pPr>
        <w:pStyle w:val="3"/>
        <w:pageBreakBefore w:val="0"/>
        <w:kinsoku/>
        <w:topLinePunct w:val="0"/>
        <w:autoSpaceDE/>
        <w:autoSpaceDN/>
        <w:bidi w:val="0"/>
        <w:spacing w:before="0" w:after="0" w:line="360" w:lineRule="auto"/>
        <w:rPr>
          <w:rFonts w:hint="eastAsia" w:ascii="宋体" w:hAnsi="宋体" w:eastAsia="宋体"/>
          <w:color w:val="auto"/>
          <w:sz w:val="21"/>
          <w:szCs w:val="21"/>
          <w:highlight w:val="none"/>
        </w:rPr>
      </w:pPr>
      <w:bookmarkStart w:id="166" w:name="_Toc21744"/>
      <w:r>
        <w:rPr>
          <w:rFonts w:hint="eastAsia"/>
          <w:color w:val="auto"/>
          <w:sz w:val="28"/>
          <w:szCs w:val="28"/>
          <w:highlight w:val="none"/>
          <w:lang w:val="en-US" w:eastAsia="zh-CN"/>
        </w:rPr>
        <w:t>第七部分 附件-开标文件格式</w:t>
      </w:r>
      <w:bookmarkEnd w:id="166"/>
    </w:p>
    <w:p w14:paraId="20692C43">
      <w:pPr>
        <w:pageBreakBefore w:val="0"/>
        <w:widowControl w:val="0"/>
        <w:kinsoku/>
        <w:overflowPunct w:val="0"/>
        <w:topLinePunct w:val="0"/>
        <w:autoSpaceDE/>
        <w:autoSpaceDN/>
        <w:bidi w:val="0"/>
        <w:spacing w:before="0" w:after="0" w:line="360" w:lineRule="auto"/>
        <w:outlineLvl w:val="9"/>
        <w:rPr>
          <w:rFonts w:hint="eastAsia" w:ascii="宋体" w:hAnsi="宋体" w:eastAsia="宋体"/>
          <w:color w:val="auto"/>
          <w:sz w:val="21"/>
          <w:szCs w:val="21"/>
          <w:highlight w:val="none"/>
        </w:rPr>
      </w:pPr>
      <w:bookmarkStart w:id="167" w:name="_Toc16536"/>
    </w:p>
    <w:p w14:paraId="7D89E705">
      <w:pPr>
        <w:pStyle w:val="5"/>
        <w:keepNext/>
        <w:keepLines/>
        <w:pageBreakBefore w:val="0"/>
        <w:widowControl w:val="0"/>
        <w:kinsoku/>
        <w:wordWrap/>
        <w:overflowPunct w:val="0"/>
        <w:topLinePunct w:val="0"/>
        <w:autoSpaceDE/>
        <w:autoSpaceDN/>
        <w:bidi w:val="0"/>
        <w:adjustRightInd w:val="0"/>
        <w:snapToGrid w:val="0"/>
        <w:spacing w:before="0" w:after="0" w:line="48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.开标一览表格式</w:t>
      </w:r>
      <w:bookmarkEnd w:id="167"/>
    </w:p>
    <w:p w14:paraId="08C73FD5">
      <w:pPr>
        <w:pStyle w:val="5"/>
        <w:keepNext/>
        <w:keepLines/>
        <w:pageBreakBefore w:val="0"/>
        <w:widowControl w:val="0"/>
        <w:kinsoku/>
        <w:wordWrap/>
        <w:overflowPunct w:val="0"/>
        <w:topLinePunct w:val="0"/>
        <w:autoSpaceDE/>
        <w:autoSpaceDN/>
        <w:bidi w:val="0"/>
        <w:adjustRightInd w:val="0"/>
        <w:snapToGrid w:val="0"/>
        <w:spacing w:before="0" w:after="0" w:line="480" w:lineRule="auto"/>
        <w:textAlignment w:val="auto"/>
        <w:rPr>
          <w:rFonts w:ascii="宋体" w:hAnsi="宋体" w:eastAsia="宋体"/>
          <w:color w:val="auto"/>
          <w:sz w:val="21"/>
          <w:szCs w:val="21"/>
          <w:highlight w:val="none"/>
        </w:rPr>
      </w:pPr>
      <w:bookmarkStart w:id="168" w:name="_Toc22082"/>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.法定代表人证明书格式</w:t>
      </w:r>
      <w:bookmarkEnd w:id="168"/>
    </w:p>
    <w:p w14:paraId="3ECFEAC3">
      <w:pPr>
        <w:pStyle w:val="5"/>
        <w:keepNext/>
        <w:keepLines/>
        <w:pageBreakBefore w:val="0"/>
        <w:widowControl w:val="0"/>
        <w:kinsoku/>
        <w:wordWrap/>
        <w:overflowPunct w:val="0"/>
        <w:topLinePunct w:val="0"/>
        <w:autoSpaceDE/>
        <w:autoSpaceDN/>
        <w:bidi w:val="0"/>
        <w:adjustRightInd w:val="0"/>
        <w:snapToGrid w:val="0"/>
        <w:spacing w:before="0" w:after="0" w:line="480" w:lineRule="auto"/>
        <w:textAlignment w:val="auto"/>
        <w:rPr>
          <w:color w:val="auto"/>
          <w:highlight w:val="none"/>
        </w:rPr>
      </w:pPr>
      <w:bookmarkStart w:id="169" w:name="_Toc6287"/>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.法定代表人授权书格式</w:t>
      </w:r>
      <w:bookmarkEnd w:id="169"/>
    </w:p>
    <w:p w14:paraId="7ACED31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20" w:firstLineChars="200"/>
        <w:jc w:val="both"/>
        <w:textAlignment w:val="auto"/>
        <w:rPr>
          <w:rFonts w:hint="eastAsia" w:ascii="宋体" w:hAnsi="宋体" w:eastAsia="宋体"/>
          <w:color w:val="auto"/>
          <w:sz w:val="21"/>
          <w:szCs w:val="21"/>
          <w:highlight w:val="none"/>
          <w:lang w:eastAsia="zh-CN"/>
        </w:rPr>
      </w:pPr>
      <w:bookmarkStart w:id="170" w:name="_Toc21573"/>
    </w:p>
    <w:p w14:paraId="7FF80498">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20" w:firstLineChars="200"/>
        <w:jc w:val="both"/>
        <w:textAlignment w:val="auto"/>
        <w:rPr>
          <w:rFonts w:hint="eastAsia"/>
          <w:color w:val="auto"/>
          <w:sz w:val="28"/>
          <w:szCs w:val="28"/>
          <w:highlight w:val="none"/>
          <w:lang w:val="en-US" w:eastAsia="zh-CN"/>
        </w:rPr>
      </w:pPr>
      <w:r>
        <w:rPr>
          <w:rFonts w:hint="eastAsia" w:ascii="宋体" w:hAnsi="宋体" w:eastAsia="宋体"/>
          <w:color w:val="auto"/>
          <w:sz w:val="21"/>
          <w:szCs w:val="21"/>
          <w:highlight w:val="none"/>
          <w:lang w:eastAsia="zh-CN"/>
        </w:rPr>
        <w:t>注：</w:t>
      </w:r>
      <w:r>
        <w:rPr>
          <w:rFonts w:hint="eastAsia" w:ascii="宋体" w:hAnsi="宋体" w:eastAsia="宋体"/>
          <w:color w:val="auto"/>
          <w:sz w:val="21"/>
          <w:szCs w:val="21"/>
          <w:highlight w:val="none"/>
        </w:rPr>
        <w:t>投标人应将开标一览表</w:t>
      </w:r>
      <w:r>
        <w:rPr>
          <w:rFonts w:hint="eastAsia" w:ascii="宋体" w:hAnsi="宋体" w:eastAsia="宋体"/>
          <w:color w:val="auto"/>
          <w:sz w:val="21"/>
          <w:szCs w:val="21"/>
          <w:highlight w:val="none"/>
          <w:lang w:eastAsia="zh-CN"/>
        </w:rPr>
        <w:t>、法人代表证明书、法定代表人授权书（法人投标无需提交授权书）</w:t>
      </w:r>
      <w:r>
        <w:rPr>
          <w:rFonts w:hint="eastAsia" w:ascii="宋体" w:hAnsi="宋体" w:eastAsia="宋体"/>
          <w:color w:val="auto"/>
          <w:sz w:val="21"/>
          <w:szCs w:val="21"/>
          <w:highlight w:val="none"/>
        </w:rPr>
        <w:t>单独密封提交，并在信封上标明“开标文件”字样。“开标文件”份数及签章等要求与投标文件正本相同（1份）。</w:t>
      </w:r>
    </w:p>
    <w:p w14:paraId="1AC66AA1">
      <w:pPr>
        <w:rPr>
          <w:rFonts w:hint="eastAsia"/>
          <w:color w:val="auto"/>
          <w:sz w:val="28"/>
          <w:szCs w:val="28"/>
          <w:highlight w:val="none"/>
          <w:lang w:val="en-US" w:eastAsia="zh-CN"/>
        </w:rPr>
      </w:pPr>
      <w:r>
        <w:rPr>
          <w:rFonts w:hint="eastAsia"/>
          <w:color w:val="auto"/>
          <w:sz w:val="28"/>
          <w:szCs w:val="28"/>
          <w:highlight w:val="none"/>
          <w:lang w:val="en-US" w:eastAsia="zh-CN"/>
        </w:rPr>
        <w:br w:type="page"/>
      </w:r>
    </w:p>
    <w:p w14:paraId="22353224">
      <w:pPr>
        <w:pStyle w:val="3"/>
        <w:pageBreakBefore w:val="0"/>
        <w:kinsoku/>
        <w:topLinePunct w:val="0"/>
        <w:autoSpaceDE/>
        <w:autoSpaceDN/>
        <w:bidi w:val="0"/>
        <w:spacing w:before="0" w:after="0" w:line="360" w:lineRule="auto"/>
        <w:rPr>
          <w:rFonts w:hint="eastAsia" w:ascii="宋体" w:hAnsi="宋体" w:eastAsia="宋体"/>
          <w:color w:val="auto"/>
          <w:sz w:val="21"/>
          <w:szCs w:val="21"/>
          <w:highlight w:val="none"/>
        </w:rPr>
      </w:pPr>
      <w:r>
        <w:rPr>
          <w:rFonts w:hint="eastAsia"/>
          <w:color w:val="auto"/>
          <w:sz w:val="28"/>
          <w:szCs w:val="28"/>
          <w:highlight w:val="none"/>
          <w:lang w:val="en-US" w:eastAsia="zh-CN"/>
        </w:rPr>
        <w:t>第八部分 附件-其他文件格式（如有需求）</w:t>
      </w:r>
      <w:bookmarkEnd w:id="170"/>
    </w:p>
    <w:p w14:paraId="4811AED4">
      <w:pPr>
        <w:pStyle w:val="5"/>
        <w:pageBreakBefore w:val="0"/>
        <w:widowControl w:val="0"/>
        <w:kinsoku/>
        <w:overflowPunct w:val="0"/>
        <w:topLinePunct w:val="0"/>
        <w:autoSpaceDE/>
        <w:autoSpaceDN/>
        <w:bidi w:val="0"/>
        <w:spacing w:before="0" w:after="0" w:line="360" w:lineRule="auto"/>
        <w:rPr>
          <w:rFonts w:hint="eastAsia" w:ascii="宋体" w:hAnsi="宋体" w:eastAsia="宋体"/>
          <w:color w:val="auto"/>
          <w:sz w:val="21"/>
          <w:szCs w:val="21"/>
          <w:highlight w:val="none"/>
        </w:rPr>
      </w:pPr>
      <w:bookmarkStart w:id="171" w:name="_Toc15531"/>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 联合体共同投标协议书（可选）</w:t>
      </w:r>
      <w:bookmarkEnd w:id="171"/>
    </w:p>
    <w:p w14:paraId="4AE47B4F">
      <w:pPr>
        <w:pageBreakBefore w:val="0"/>
        <w:widowControl/>
        <w:kinsoku/>
        <w:topLinePunct w:val="0"/>
        <w:autoSpaceDE/>
        <w:autoSpaceDN/>
        <w:bidi w:val="0"/>
        <w:adjustRightInd w:val="0"/>
        <w:snapToGrid w:val="0"/>
        <w:spacing w:line="360" w:lineRule="auto"/>
        <w:jc w:val="center"/>
        <w:rPr>
          <w:rFonts w:hint="eastAsia" w:ascii="黑体" w:hAnsi="黑体" w:eastAsia="黑体" w:cs="黑体"/>
          <w:b w:val="0"/>
          <w:bCs/>
          <w:color w:val="auto"/>
          <w:kern w:val="0"/>
          <w:sz w:val="28"/>
          <w:szCs w:val="28"/>
          <w:highlight w:val="none"/>
        </w:rPr>
      </w:pPr>
      <w:r>
        <w:rPr>
          <w:rFonts w:hint="eastAsia" w:ascii="黑体" w:hAnsi="黑体" w:eastAsia="黑体" w:cs="黑体"/>
          <w:b w:val="0"/>
          <w:bCs/>
          <w:color w:val="auto"/>
          <w:kern w:val="0"/>
          <w:sz w:val="28"/>
          <w:szCs w:val="28"/>
          <w:highlight w:val="none"/>
        </w:rPr>
        <w:t>联合体共同投标协议书</w:t>
      </w:r>
    </w:p>
    <w:p w14:paraId="175C1AAD">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立约方：（甲公司全称）</w:t>
      </w:r>
    </w:p>
    <w:p w14:paraId="0EBD5FA4">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（乙公司全称）</w:t>
      </w:r>
    </w:p>
    <w:p w14:paraId="56FCE2CC">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（……公司全称）</w:t>
      </w:r>
    </w:p>
    <w:p w14:paraId="3E375A3C">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（甲公司全称）、（乙公司全称）、（……公司全称）自愿组成联合体，以一个投标供应商的身份共同参加（采购项目名称） （采购项目编号）的响应活动。经各方充分协商一致，就项目的响应和合同实施阶段的有关事务协商一致订立协议如下：</w:t>
      </w:r>
    </w:p>
    <w:p w14:paraId="3E9720ED">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一、联合体各方关系</w:t>
      </w:r>
    </w:p>
    <w:p w14:paraId="2843FEAF">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甲公司全称）、（乙公司全称）、（……公司全称）共同组成一个联合体，以一个投标供应商的身份共同参加本项目的响应。（甲公司全称）、（乙公司全称）、（……公司全称）作为联合体成员，若中标，联合体各方共同与（采购人）签订政府采购合同。</w:t>
      </w:r>
    </w:p>
    <w:p w14:paraId="32565F4D">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二、联合体内部有关事项约定如下：</w:t>
      </w:r>
    </w:p>
    <w:p w14:paraId="5747BD20">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          作为联合体的牵头单位，代表联合体双方负责投标和合同实施阶段的主办、协调工作。</w:t>
      </w:r>
    </w:p>
    <w:p w14:paraId="5202D58B">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 联合体将严格按照文件的各项要求，递交投标文件，切实执行一切合同文件，共同承担合同规定的一切义务和责任，同时按照内部职责的划分，承担自身所负的责任和风险，在法律在承担连带责任。</w:t>
      </w:r>
    </w:p>
    <w:p w14:paraId="4FE5EF9A">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 如果本联合体中标，（甲公司全称）负责本项目            部分，（乙公司全称）负责本项目              部分。</w:t>
      </w:r>
    </w:p>
    <w:p w14:paraId="276233B5">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4.如中标，联合体各方共同与（采购人）签订合同书，并就中标项目向采购人负责有连带的和各自的法律责任；</w:t>
      </w:r>
    </w:p>
    <w:p w14:paraId="69CC4334">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5.联合体成员　（公司全称）　为（请填写：小型、微型）企业，将承担合同总金额　　%的工作内容（联合体成员中有小型、微型企业时适用）。</w:t>
      </w:r>
    </w:p>
    <w:p w14:paraId="1798B185">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21A1E302">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四、联合体如因违约过失责任而导致采购人经济损失或被索赔时，本联合体任何一方均同意无条件优先清偿采购人的一切债务和经济赔偿。</w:t>
      </w:r>
    </w:p>
    <w:p w14:paraId="64A8A20F">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五、本协议在自签署之日起生效，有效期内有效，如获中标资格，合同有效期延续至合同履行完毕之日。</w:t>
      </w:r>
    </w:p>
    <w:p w14:paraId="62B108AF">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六、本协议书正本一式  份，随投标文件装订   份，送采购人   份，联合体成员各一份；副本一式   份，联合体成员各执    份。</w:t>
      </w:r>
    </w:p>
    <w:p w14:paraId="0B2669EB">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p>
    <w:p w14:paraId="44523757">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甲公司全称：（盖章） </w:t>
      </w:r>
      <w:r>
        <w:rPr>
          <w:rFonts w:hint="eastAsia" w:ascii="宋体" w:hAnsi="宋体" w:eastAsia="宋体"/>
          <w:color w:val="auto"/>
          <w:sz w:val="21"/>
          <w:szCs w:val="21"/>
          <w:highlight w:val="none"/>
          <w:lang w:eastAsia="zh-CN"/>
        </w:rPr>
        <w:tab/>
      </w:r>
      <w:r>
        <w:rPr>
          <w:rFonts w:hint="eastAsia" w:ascii="宋体" w:hAnsi="宋体" w:eastAsia="宋体"/>
          <w:color w:val="auto"/>
          <w:sz w:val="21"/>
          <w:szCs w:val="21"/>
          <w:highlight w:val="none"/>
          <w:lang w:eastAsia="zh-CN"/>
        </w:rPr>
        <w:t>乙公司全称：（盖章）</w:t>
      </w:r>
      <w:r>
        <w:rPr>
          <w:rFonts w:hint="eastAsia" w:ascii="宋体" w:hAnsi="宋体" w:eastAsia="宋体"/>
          <w:color w:val="auto"/>
          <w:sz w:val="21"/>
          <w:szCs w:val="21"/>
          <w:highlight w:val="none"/>
          <w:lang w:eastAsia="zh-CN"/>
        </w:rPr>
        <w:tab/>
      </w:r>
      <w:r>
        <w:rPr>
          <w:rFonts w:hint="eastAsia" w:ascii="宋体" w:hAnsi="宋体" w:eastAsia="宋体"/>
          <w:color w:val="auto"/>
          <w:sz w:val="21"/>
          <w:szCs w:val="21"/>
          <w:highlight w:val="none"/>
          <w:lang w:eastAsia="zh-CN"/>
        </w:rPr>
        <w:t>……公司全称（盖章）</w:t>
      </w:r>
    </w:p>
    <w:p w14:paraId="05E97DEA">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法定代表人：（签字或盖章） </w:t>
      </w:r>
      <w:r>
        <w:rPr>
          <w:rFonts w:hint="eastAsia" w:ascii="宋体" w:hAnsi="宋体" w:eastAsia="宋体"/>
          <w:color w:val="auto"/>
          <w:sz w:val="21"/>
          <w:szCs w:val="21"/>
          <w:highlight w:val="none"/>
          <w:lang w:eastAsia="zh-CN"/>
        </w:rPr>
        <w:tab/>
      </w:r>
      <w:r>
        <w:rPr>
          <w:rFonts w:hint="eastAsia" w:ascii="宋体" w:hAnsi="宋体" w:eastAsia="宋体"/>
          <w:color w:val="auto"/>
          <w:sz w:val="21"/>
          <w:szCs w:val="21"/>
          <w:highlight w:val="none"/>
          <w:lang w:eastAsia="zh-CN"/>
        </w:rPr>
        <w:t>法定代表人（签字或盖章）</w:t>
      </w:r>
      <w:r>
        <w:rPr>
          <w:rFonts w:hint="eastAsia" w:ascii="宋体" w:hAnsi="宋体" w:eastAsia="宋体"/>
          <w:color w:val="auto"/>
          <w:sz w:val="21"/>
          <w:szCs w:val="21"/>
          <w:highlight w:val="none"/>
          <w:lang w:eastAsia="zh-CN"/>
        </w:rPr>
        <w:tab/>
      </w:r>
      <w:r>
        <w:rPr>
          <w:rFonts w:hint="eastAsia" w:ascii="宋体" w:hAnsi="宋体" w:eastAsia="宋体"/>
          <w:color w:val="auto"/>
          <w:sz w:val="21"/>
          <w:szCs w:val="21"/>
          <w:highlight w:val="none"/>
          <w:lang w:eastAsia="zh-CN"/>
        </w:rPr>
        <w:t xml:space="preserve"> 法定代表人（签字或盖章）</w:t>
      </w:r>
    </w:p>
    <w:p w14:paraId="3E803D65">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年　　月　　日</w:t>
      </w:r>
      <w:r>
        <w:rPr>
          <w:rFonts w:hint="eastAsia" w:ascii="宋体" w:hAnsi="宋体" w:eastAsia="宋体"/>
          <w:color w:val="auto"/>
          <w:sz w:val="21"/>
          <w:szCs w:val="21"/>
          <w:highlight w:val="none"/>
          <w:lang w:eastAsia="zh-CN"/>
        </w:rPr>
        <w:tab/>
      </w:r>
      <w:r>
        <w:rPr>
          <w:rFonts w:hint="eastAsia" w:ascii="宋体" w:hAnsi="宋体" w:eastAsia="宋体"/>
          <w:color w:val="auto"/>
          <w:sz w:val="21"/>
          <w:szCs w:val="21"/>
          <w:highlight w:val="none"/>
          <w:lang w:eastAsia="zh-CN"/>
        </w:rPr>
        <w:t>　　年　　月　　日</w:t>
      </w:r>
      <w:r>
        <w:rPr>
          <w:rFonts w:hint="eastAsia" w:ascii="宋体" w:hAnsi="宋体" w:eastAsia="宋体"/>
          <w:color w:val="auto"/>
          <w:sz w:val="21"/>
          <w:szCs w:val="21"/>
          <w:highlight w:val="none"/>
          <w:lang w:eastAsia="zh-CN"/>
        </w:rPr>
        <w:tab/>
      </w:r>
      <w:r>
        <w:rPr>
          <w:rFonts w:hint="eastAsia" w:ascii="宋体" w:hAnsi="宋体" w:eastAsia="宋体"/>
          <w:color w:val="auto"/>
          <w:sz w:val="21"/>
          <w:szCs w:val="21"/>
          <w:highlight w:val="none"/>
          <w:lang w:eastAsia="zh-CN"/>
        </w:rPr>
        <w:t>　　年　　月　　日</w:t>
      </w:r>
    </w:p>
    <w:p w14:paraId="5479A7C1">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p>
    <w:p w14:paraId="43E25D4C">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注：1．联合投标时需签本协议，联合体各方成员应在本协议上共同盖章确认。</w:t>
      </w:r>
    </w:p>
    <w:p w14:paraId="05F61596">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2．本协议内容不得擅自修改。此协议将作为签订合同的附件之一。</w:t>
      </w:r>
      <w:r>
        <w:rPr>
          <w:rFonts w:hint="eastAsia" w:ascii="宋体" w:hAnsi="宋体" w:eastAsia="宋体"/>
          <w:color w:val="auto"/>
          <w:sz w:val="21"/>
          <w:szCs w:val="21"/>
          <w:highlight w:val="none"/>
        </w:rPr>
        <w:br w:type="page"/>
      </w:r>
    </w:p>
    <w:p w14:paraId="2F596CAD">
      <w:pPr>
        <w:pageBreakBefore w:val="0"/>
        <w:kinsoku/>
        <w:topLinePunct w:val="0"/>
        <w:autoSpaceDE/>
        <w:autoSpaceDN/>
        <w:bidi w:val="0"/>
        <w:spacing w:after="0" w:line="360" w:lineRule="auto"/>
        <w:outlineLvl w:val="3"/>
        <w:rPr>
          <w:rFonts w:ascii="黑体" w:eastAsia="黑体"/>
          <w:color w:val="auto"/>
          <w:sz w:val="30"/>
          <w:szCs w:val="30"/>
          <w:highlight w:val="none"/>
        </w:rPr>
      </w:pPr>
      <w:bookmarkStart w:id="172" w:name="_Toc137"/>
      <w:r>
        <w:rPr>
          <w:rStyle w:val="27"/>
          <w:rFonts w:hint="eastAsia" w:ascii="宋体" w:hAnsi="宋体" w:eastAsia="宋体" w:cs="宋体"/>
          <w:color w:val="auto"/>
          <w:sz w:val="21"/>
          <w:szCs w:val="21"/>
          <w:highlight w:val="none"/>
        </w:rPr>
        <w:t>附件</w:t>
      </w:r>
      <w:r>
        <w:rPr>
          <w:rStyle w:val="27"/>
          <w:rFonts w:hint="eastAsia" w:ascii="宋体" w:hAnsi="宋体" w:eastAsia="宋体" w:cs="宋体"/>
          <w:color w:val="auto"/>
          <w:sz w:val="21"/>
          <w:szCs w:val="21"/>
          <w:highlight w:val="none"/>
          <w:lang w:val="en-US" w:eastAsia="zh-CN"/>
        </w:rPr>
        <w:t>2</w:t>
      </w:r>
      <w:r>
        <w:rPr>
          <w:rStyle w:val="27"/>
          <w:rFonts w:hint="eastAsia" w:ascii="宋体" w:hAnsi="宋体" w:eastAsia="宋体" w:cs="宋体"/>
          <w:color w:val="auto"/>
          <w:sz w:val="21"/>
          <w:szCs w:val="21"/>
          <w:highlight w:val="none"/>
        </w:rPr>
        <w:t>.履约担保函</w:t>
      </w:r>
      <w:bookmarkEnd w:id="172"/>
    </w:p>
    <w:p w14:paraId="5B9FF9EB">
      <w:pPr>
        <w:pageBreakBefore w:val="0"/>
        <w:kinsoku/>
        <w:topLinePunct w:val="0"/>
        <w:autoSpaceDE/>
        <w:autoSpaceDN/>
        <w:bidi w:val="0"/>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履约担保函</w:t>
      </w:r>
    </w:p>
    <w:p w14:paraId="7FB3D168">
      <w:pPr>
        <w:pageBreakBefore w:val="0"/>
        <w:kinsoku/>
        <w:wordWrap w:val="0"/>
        <w:topLinePunct w:val="0"/>
        <w:autoSpaceDE/>
        <w:autoSpaceDN/>
        <w:bidi w:val="0"/>
        <w:spacing w:line="360" w:lineRule="auto"/>
        <w:jc w:val="right"/>
        <w:rPr>
          <w:rFonts w:ascii="仿宋_GB2312" w:eastAsia="仿宋_GB2312"/>
          <w:color w:val="auto"/>
          <w:sz w:val="32"/>
          <w:szCs w:val="32"/>
          <w:highlight w:val="none"/>
        </w:rPr>
      </w:pPr>
      <w:r>
        <w:rPr>
          <w:rFonts w:hint="eastAsia" w:ascii="黑体" w:eastAsia="黑体"/>
          <w:color w:val="auto"/>
          <w:sz w:val="28"/>
          <w:szCs w:val="28"/>
          <w:highlight w:val="none"/>
        </w:rPr>
        <w:t xml:space="preserve">编号：  </w:t>
      </w:r>
      <w:r>
        <w:rPr>
          <w:rFonts w:hint="eastAsia" w:ascii="仿宋_GB2312" w:eastAsia="仿宋_GB2312"/>
          <w:color w:val="auto"/>
          <w:sz w:val="32"/>
          <w:szCs w:val="32"/>
          <w:highlight w:val="none"/>
        </w:rPr>
        <w:t xml:space="preserve">       </w:t>
      </w:r>
    </w:p>
    <w:p w14:paraId="26627659">
      <w:pPr>
        <w:pageBreakBefore w:val="0"/>
        <w:kinsoku/>
        <w:topLinePunct w:val="0"/>
        <w:autoSpaceDE/>
        <w:autoSpaceDN/>
        <w:bidi w:val="0"/>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p>
    <w:p w14:paraId="545E80C2">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（以下简称供应商）于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日签定编号为   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合同》（以下简称主合同），且依据该合同的约定，供应商应在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日前向你方交纳履约保证金，且可以履约担保函的形式交纳履约保证金。应供应商的申请，我方以保证的方式向你方提供如下履约保证金担保：</w:t>
      </w:r>
    </w:p>
    <w:p w14:paraId="4C2BE7CE">
      <w:pPr>
        <w:pageBreakBefore w:val="0"/>
        <w:kinsoku/>
        <w:topLinePunct w:val="0"/>
        <w:autoSpaceDE/>
        <w:autoSpaceDN/>
        <w:bidi w:val="0"/>
        <w:spacing w:after="0"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一、保证责任的情形及保证金额</w:t>
      </w:r>
    </w:p>
    <w:p w14:paraId="12C4ACE5">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（一）在供应商出现下列情形之一时，我方承担保证责任：</w:t>
      </w:r>
    </w:p>
    <w:p w14:paraId="2EEC6834">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1．将中标项目转让给他人，或者在投标文件中未说明，且未经采购招标机构人同意，将中标项目分包给他人的；</w:t>
      </w:r>
    </w:p>
    <w:p w14:paraId="129013A7">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2．主合同约定的应当缴纳履约保证金的情形: </w:t>
      </w:r>
    </w:p>
    <w:p w14:paraId="6C1DC2DC">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（1）未按主合同约定的质量、数量和期限供应货物/提供服务/完成工程的；</w:t>
      </w:r>
    </w:p>
    <w:p w14:paraId="2B5BCFB1">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26B91D">
      <w:pPr>
        <w:pageBreakBefore w:val="0"/>
        <w:kinsoku/>
        <w:topLinePunct w:val="0"/>
        <w:autoSpaceDE/>
        <w:autoSpaceDN/>
        <w:bidi w:val="0"/>
        <w:spacing w:after="0" w:line="360" w:lineRule="auto"/>
        <w:ind w:right="-1291" w:rightChars="-587"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（二）我方的保证范围是主合同约定的合同价款总额</w:t>
      </w:r>
      <w:r>
        <w:rPr>
          <w:rFonts w:hint="eastAsia" w:ascii="宋体" w:hAnsi="宋体" w:eastAsia="宋体" w:cs="宋体"/>
          <w:color w:val="auto"/>
          <w:sz w:val="21"/>
          <w:szCs w:val="21"/>
          <w:highlight w:val="none"/>
          <w:u w:val="single"/>
        </w:rPr>
        <w:t xml:space="preserve">  </w:t>
      </w:r>
    </w:p>
    <w:p w14:paraId="4D8A5E55">
      <w:pPr>
        <w:pageBreakBefore w:val="0"/>
        <w:kinsoku/>
        <w:topLinePunct w:val="0"/>
        <w:autoSpaceDE/>
        <w:autoSpaceDN/>
        <w:bidi w:val="0"/>
        <w:spacing w:after="0" w:line="360" w:lineRule="auto"/>
        <w:ind w:right="26" w:rightChars="1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。（即主合同履约保证金金额）</w:t>
      </w:r>
    </w:p>
    <w:p w14:paraId="10C9708E">
      <w:pPr>
        <w:pageBreakBefore w:val="0"/>
        <w:kinsoku/>
        <w:topLinePunct w:val="0"/>
        <w:autoSpaceDE/>
        <w:autoSpaceDN/>
        <w:bidi w:val="0"/>
        <w:spacing w:after="0"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二、保证的方式及保证期间</w:t>
      </w:r>
    </w:p>
    <w:p w14:paraId="04485631">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我方保证的方式为：连带责任保证。</w:t>
      </w:r>
    </w:p>
    <w:p w14:paraId="46FDEF4F">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我方保证的期间为：自本合同生效之日起至供应商按照主合同约定的供货/完工期限届满后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78C9AB30">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如果供应商未按主合同约定向贵方供应货物/提供服务/完成工程的，由我方在保证金额内向你方支付上述款项。</w:t>
      </w:r>
    </w:p>
    <w:p w14:paraId="3A6F7C13">
      <w:pPr>
        <w:pageBreakBefore w:val="0"/>
        <w:kinsoku/>
        <w:topLinePunct w:val="0"/>
        <w:autoSpaceDE/>
        <w:autoSpaceDN/>
        <w:bidi w:val="0"/>
        <w:spacing w:after="0"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三、承担保证责任的程序</w:t>
      </w:r>
    </w:p>
    <w:p w14:paraId="090B525D">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1．你方要求我方承担保证责任的，应在本保函保证期间内向我方发出书面索赔通知。索赔通知应写明要求索赔的金额，支付款项应到达的</w:t>
      </w:r>
      <w:r>
        <w:rPr>
          <w:rFonts w:hint="eastAsia" w:ascii="宋体" w:hAnsi="宋体" w:eastAsia="宋体" w:cs="宋体"/>
          <w:color w:val="auto"/>
          <w:sz w:val="21"/>
          <w:szCs w:val="21"/>
          <w:highlight w:val="none"/>
          <w:lang w:eastAsia="zh-CN"/>
        </w:rPr>
        <w:t>账号</w:t>
      </w:r>
      <w:r>
        <w:rPr>
          <w:rFonts w:hint="eastAsia" w:ascii="宋体" w:hAnsi="宋体" w:eastAsia="宋体" w:cs="宋体"/>
          <w:color w:val="auto"/>
          <w:sz w:val="21"/>
          <w:szCs w:val="21"/>
          <w:highlight w:val="none"/>
        </w:rPr>
        <w:t>。并附有证明供应商违约事实的证明材料。</w:t>
      </w:r>
    </w:p>
    <w:p w14:paraId="4116F71D">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如果你方与供应商因货物质量问题产生争议，你方还需同时提供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部门出具的质量检测报告，或经诉讼（仲裁）程序裁决后的裁决书、调解书，本保证人即按照检测结果或裁决书、调解书决定是否承担保证责任。</w:t>
      </w:r>
    </w:p>
    <w:p w14:paraId="77B090AE">
      <w:pPr>
        <w:pageBreakBefore w:val="0"/>
        <w:kinsoku/>
        <w:topLinePunct w:val="0"/>
        <w:autoSpaceDE/>
        <w:autoSpaceDN/>
        <w:bidi w:val="0"/>
        <w:spacing w:after="0" w:line="360" w:lineRule="auto"/>
        <w:ind w:right="-726" w:rightChars="-330"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2．我方收到你方的书面索赔通知及相应证明材料，在</w:t>
      </w:r>
      <w:r>
        <w:rPr>
          <w:rFonts w:hint="eastAsia" w:ascii="宋体" w:hAnsi="宋体" w:eastAsia="宋体" w:cs="宋体"/>
          <w:color w:val="auto"/>
          <w:sz w:val="21"/>
          <w:szCs w:val="21"/>
          <w:highlight w:val="none"/>
          <w:u w:val="single"/>
        </w:rPr>
        <w:t xml:space="preserve">  </w:t>
      </w:r>
    </w:p>
    <w:p w14:paraId="350948E3">
      <w:pPr>
        <w:pageBreakBefore w:val="0"/>
        <w:kinsoku/>
        <w:topLinePunct w:val="0"/>
        <w:autoSpaceDE/>
        <w:autoSpaceDN/>
        <w:bidi w:val="0"/>
        <w:spacing w:after="0" w:line="360" w:lineRule="auto"/>
        <w:ind w:right="-726" w:rightChars="-33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工作日内进行核定后按照本保函的承诺承担保证责任。</w:t>
      </w:r>
    </w:p>
    <w:p w14:paraId="22C83CB1">
      <w:pPr>
        <w:pageBreakBefore w:val="0"/>
        <w:kinsoku/>
        <w:topLinePunct w:val="0"/>
        <w:autoSpaceDE/>
        <w:autoSpaceDN/>
        <w:bidi w:val="0"/>
        <w:spacing w:after="0"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四、保证责任的终止</w:t>
      </w:r>
    </w:p>
    <w:p w14:paraId="6A719D68">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7512B01">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2．我方按照本保函向你方履行了保证责任后，自我方向你方支付款项（支付款项从我方账户划出）之日起，保证责任即终止。</w:t>
      </w:r>
    </w:p>
    <w:p w14:paraId="5EC69036">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3．按照法律法规的规定或出现应终止我方保证责任的其它情形的，我方在本保函项下的保证责任亦终止。</w:t>
      </w:r>
    </w:p>
    <w:p w14:paraId="16A5CC8D">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6487BEB">
      <w:pPr>
        <w:pageBreakBefore w:val="0"/>
        <w:kinsoku/>
        <w:topLinePunct w:val="0"/>
        <w:autoSpaceDE/>
        <w:autoSpaceDN/>
        <w:bidi w:val="0"/>
        <w:spacing w:after="0"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五、免责条款</w:t>
      </w:r>
    </w:p>
    <w:p w14:paraId="48923C33">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1．因你方违反主合同约定致使供应商不能履行义务的，我方不承担保证责任。</w:t>
      </w:r>
    </w:p>
    <w:p w14:paraId="38B310AD">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2．依照法律法规的规定或你方与供应商的另行约定，全部或者部分免除供应商应缴纳的保证金义务的，我方亦免除相应的保证责任。</w:t>
      </w:r>
    </w:p>
    <w:p w14:paraId="5D774293">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3．因不可抗力造成供应商不能履行供货义务的，我方不承担保证责任。</w:t>
      </w:r>
    </w:p>
    <w:p w14:paraId="10C89F08">
      <w:pPr>
        <w:pageBreakBefore w:val="0"/>
        <w:kinsoku/>
        <w:topLinePunct w:val="0"/>
        <w:autoSpaceDE/>
        <w:autoSpaceDN/>
        <w:bidi w:val="0"/>
        <w:spacing w:after="0"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六、争议的解决</w:t>
      </w:r>
    </w:p>
    <w:p w14:paraId="40FAC97B">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因本保函发生的纠纷，由你我双方协商解决，协商不成的，通过诉讼程序解决，诉讼管辖地法院为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法院。</w:t>
      </w:r>
    </w:p>
    <w:p w14:paraId="1D7BD92F">
      <w:pPr>
        <w:pageBreakBefore w:val="0"/>
        <w:kinsoku/>
        <w:topLinePunct w:val="0"/>
        <w:autoSpaceDE/>
        <w:autoSpaceDN/>
        <w:bidi w:val="0"/>
        <w:spacing w:after="0"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七、保函的生效</w:t>
      </w:r>
    </w:p>
    <w:p w14:paraId="5136192B">
      <w:pPr>
        <w:pageBreakBefore w:val="0"/>
        <w:kinsoku/>
        <w:topLinePunct w:val="0"/>
        <w:autoSpaceDE/>
        <w:autoSpaceDN/>
        <w:bidi w:val="0"/>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本保函自我方加盖公章之日起生效。</w:t>
      </w:r>
    </w:p>
    <w:p w14:paraId="446C87B3">
      <w:pPr>
        <w:pageBreakBefore w:val="0"/>
        <w:kinsoku/>
        <w:topLinePunct w:val="0"/>
        <w:autoSpaceDE/>
        <w:autoSpaceDN/>
        <w:bidi w:val="0"/>
        <w:spacing w:after="0" w:line="360" w:lineRule="auto"/>
        <w:rPr>
          <w:rFonts w:ascii="宋体" w:hAnsi="宋体" w:eastAsia="宋体" w:cs="宋体"/>
          <w:color w:val="auto"/>
          <w:sz w:val="21"/>
          <w:szCs w:val="21"/>
          <w:highlight w:val="none"/>
        </w:rPr>
      </w:pPr>
    </w:p>
    <w:p w14:paraId="360864AE">
      <w:pPr>
        <w:pageBreakBefore w:val="0"/>
        <w:kinsoku/>
        <w:topLinePunct w:val="0"/>
        <w:autoSpaceDE/>
        <w:autoSpaceDN/>
        <w:bidi w:val="0"/>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09D8915">
      <w:pPr>
        <w:pageBreakBefore w:val="0"/>
        <w:kinsoku/>
        <w:topLinePunct w:val="0"/>
        <w:autoSpaceDE/>
        <w:autoSpaceDN/>
        <w:bidi w:val="0"/>
        <w:spacing w:after="0" w:line="360" w:lineRule="auto"/>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保证人：（公章）</w:t>
      </w:r>
    </w:p>
    <w:p w14:paraId="0E812A40">
      <w:pPr>
        <w:pageBreakBefore w:val="0"/>
        <w:kinsoku/>
        <w:topLinePunct w:val="0"/>
        <w:autoSpaceDE/>
        <w:autoSpaceDN/>
        <w:bidi w:val="0"/>
        <w:spacing w:after="0"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11B3E92">
      <w:pPr>
        <w:pageBreakBefore w:val="0"/>
        <w:kinsoku/>
        <w:topLinePunct w:val="0"/>
        <w:autoSpaceDE/>
        <w:autoSpaceDN/>
        <w:bidi w:val="0"/>
        <w:spacing w:after="0" w:line="36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注：</w:t>
      </w:r>
    </w:p>
    <w:p w14:paraId="3C70AA45">
      <w:pPr>
        <w:pageBreakBefore w:val="0"/>
        <w:kinsoku/>
        <w:topLinePunct w:val="0"/>
        <w:autoSpaceDE/>
        <w:autoSpaceDN/>
        <w:bidi w:val="0"/>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lang w:eastAsia="zh-CN"/>
        </w:rPr>
        <w:t>）此格式为履约担保函格式，无需在投标文件中提供此格式。</w:t>
      </w:r>
    </w:p>
    <w:p w14:paraId="64C0BE3E">
      <w:pPr>
        <w:pStyle w:val="7"/>
        <w:pageBreakBefore w:val="0"/>
        <w:kinsoku/>
        <w:topLinePunct w:val="0"/>
        <w:autoSpaceDE/>
        <w:autoSpaceDN/>
        <w:bidi w:val="0"/>
        <w:spacing w:line="360" w:lineRule="auto"/>
        <w:rPr>
          <w:color w:val="auto"/>
          <w:highlight w:val="none"/>
        </w:rPr>
      </w:pPr>
    </w:p>
    <w:p w14:paraId="1EE3C9C3">
      <w:pPr>
        <w:pageBreakBefore w:val="0"/>
        <w:kinsoku/>
        <w:topLinePunct w:val="0"/>
        <w:autoSpaceDE/>
        <w:autoSpaceDN/>
        <w:bidi w:val="0"/>
        <w:spacing w:line="360" w:lineRule="auto"/>
        <w:rPr>
          <w:color w:val="auto"/>
          <w:highlight w:val="none"/>
        </w:rPr>
      </w:pPr>
      <w:r>
        <w:rPr>
          <w:rFonts w:ascii="宋体" w:hAnsi="宋体" w:eastAsia="宋体" w:cs="宋体"/>
          <w:color w:val="auto"/>
          <w:sz w:val="21"/>
          <w:szCs w:val="21"/>
          <w:highlight w:val="none"/>
        </w:rPr>
        <w:br w:type="page"/>
      </w:r>
    </w:p>
    <w:p w14:paraId="37319F74">
      <w:pPr>
        <w:pStyle w:val="5"/>
        <w:pageBreakBefore w:val="0"/>
        <w:kinsoku/>
        <w:topLinePunct w:val="0"/>
        <w:autoSpaceDE/>
        <w:autoSpaceDN/>
        <w:bidi w:val="0"/>
        <w:spacing w:before="0" w:after="0" w:line="360" w:lineRule="auto"/>
        <w:rPr>
          <w:rFonts w:ascii="宋体" w:hAnsi="宋体" w:eastAsia="宋体" w:cs="宋体"/>
          <w:color w:val="auto"/>
          <w:sz w:val="21"/>
          <w:szCs w:val="21"/>
          <w:highlight w:val="none"/>
        </w:rPr>
      </w:pPr>
      <w:bookmarkStart w:id="173" w:name="_Toc8346"/>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.获取招标文件登记表</w:t>
      </w:r>
      <w:bookmarkEnd w:id="173"/>
    </w:p>
    <w:p w14:paraId="4BFE44FC">
      <w:pPr>
        <w:spacing w:after="0"/>
        <w:jc w:val="center"/>
        <w:rPr>
          <w:rFonts w:ascii="黑体" w:hAnsi="黑体" w:eastAsia="黑体" w:cs="黑体"/>
          <w:color w:val="auto"/>
          <w:sz w:val="36"/>
          <w:szCs w:val="36"/>
          <w:highlight w:val="none"/>
        </w:rPr>
      </w:pPr>
      <w:bookmarkStart w:id="174" w:name="_Toc12461"/>
      <w:r>
        <w:rPr>
          <w:rFonts w:hint="eastAsia" w:ascii="黑体" w:hAnsi="黑体" w:eastAsia="黑体" w:cs="黑体"/>
          <w:color w:val="auto"/>
          <w:sz w:val="36"/>
          <w:szCs w:val="36"/>
          <w:highlight w:val="none"/>
          <w:lang w:eastAsia="zh-CN"/>
        </w:rPr>
        <w:t>获取</w:t>
      </w:r>
      <w:r>
        <w:rPr>
          <w:rFonts w:hint="eastAsia" w:ascii="黑体" w:hAnsi="黑体" w:eastAsia="黑体" w:cs="黑体"/>
          <w:color w:val="auto"/>
          <w:sz w:val="36"/>
          <w:szCs w:val="36"/>
          <w:highlight w:val="none"/>
        </w:rPr>
        <w:t>招标文件登记表</w:t>
      </w:r>
    </w:p>
    <w:tbl>
      <w:tblPr>
        <w:tblStyle w:val="19"/>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628"/>
        <w:gridCol w:w="5892"/>
      </w:tblGrid>
      <w:tr w14:paraId="6CB12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59EFD087">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获取招标文件时间</w:t>
            </w:r>
          </w:p>
        </w:tc>
        <w:tc>
          <w:tcPr>
            <w:tcW w:w="3457" w:type="pct"/>
            <w:vAlign w:val="center"/>
          </w:tcPr>
          <w:p w14:paraId="2039AE75">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年</w:t>
            </w:r>
            <w:r>
              <w:rPr>
                <w:rFonts w:hint="eastAsia" w:ascii="宋体" w:hAnsi="宋体" w:eastAsia="宋体" w:cs="宋体"/>
                <w:color w:val="auto"/>
                <w:sz w:val="32"/>
                <w:szCs w:val="32"/>
                <w:highlight w:val="none"/>
              </w:rPr>
              <w:t xml:space="preserve">    月    日    时    分</w:t>
            </w:r>
          </w:p>
        </w:tc>
      </w:tr>
      <w:tr w14:paraId="5FF057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43D017A5">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拟投标项目名称</w:t>
            </w:r>
          </w:p>
        </w:tc>
        <w:tc>
          <w:tcPr>
            <w:tcW w:w="3457" w:type="pct"/>
            <w:vAlign w:val="center"/>
          </w:tcPr>
          <w:p w14:paraId="57EE2995">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tc>
      </w:tr>
      <w:tr w14:paraId="2F705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586261B1">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tc>
        <w:tc>
          <w:tcPr>
            <w:tcW w:w="3457" w:type="pct"/>
            <w:vAlign w:val="center"/>
          </w:tcPr>
          <w:p w14:paraId="35D0E9E1">
            <w:pPr>
              <w:spacing w:after="0"/>
              <w:jc w:val="center"/>
              <w:rPr>
                <w:rFonts w:ascii="宋体" w:hAnsi="宋体" w:eastAsia="宋体" w:cs="宋体"/>
                <w:color w:val="auto"/>
                <w:sz w:val="32"/>
                <w:szCs w:val="32"/>
                <w:highlight w:val="none"/>
              </w:rPr>
            </w:pPr>
          </w:p>
        </w:tc>
      </w:tr>
      <w:tr w14:paraId="6ECC9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43367D9C">
            <w:pPr>
              <w:spacing w:after="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项目包号</w:t>
            </w:r>
          </w:p>
        </w:tc>
        <w:tc>
          <w:tcPr>
            <w:tcW w:w="3457" w:type="pct"/>
            <w:vAlign w:val="center"/>
          </w:tcPr>
          <w:p w14:paraId="79E55694">
            <w:pPr>
              <w:spacing w:after="0"/>
              <w:jc w:val="center"/>
              <w:rPr>
                <w:rFonts w:ascii="宋体" w:hAnsi="宋体" w:eastAsia="宋体" w:cs="宋体"/>
                <w:color w:val="auto"/>
                <w:sz w:val="32"/>
                <w:szCs w:val="32"/>
                <w:highlight w:val="none"/>
              </w:rPr>
            </w:pPr>
          </w:p>
        </w:tc>
      </w:tr>
      <w:tr w14:paraId="7AFFB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7BD556FE">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供应商全称</w:t>
            </w:r>
          </w:p>
        </w:tc>
        <w:tc>
          <w:tcPr>
            <w:tcW w:w="3457" w:type="pct"/>
            <w:vAlign w:val="center"/>
          </w:tcPr>
          <w:p w14:paraId="408BEDA8">
            <w:pPr>
              <w:spacing w:after="0"/>
              <w:jc w:val="center"/>
              <w:rPr>
                <w:rFonts w:ascii="宋体" w:hAnsi="宋体" w:eastAsia="宋体" w:cs="宋体"/>
                <w:color w:val="auto"/>
                <w:sz w:val="32"/>
                <w:szCs w:val="32"/>
                <w:highlight w:val="none"/>
              </w:rPr>
            </w:pPr>
          </w:p>
        </w:tc>
      </w:tr>
      <w:tr w14:paraId="2B4B5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78C84A63">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供应商联系人</w:t>
            </w:r>
          </w:p>
        </w:tc>
        <w:tc>
          <w:tcPr>
            <w:tcW w:w="3457" w:type="pct"/>
            <w:vAlign w:val="center"/>
          </w:tcPr>
          <w:p w14:paraId="307326D6">
            <w:pPr>
              <w:spacing w:after="0"/>
              <w:jc w:val="center"/>
              <w:rPr>
                <w:rFonts w:ascii="宋体" w:hAnsi="宋体" w:eastAsia="宋体" w:cs="宋体"/>
                <w:color w:val="auto"/>
                <w:sz w:val="32"/>
                <w:szCs w:val="32"/>
                <w:highlight w:val="none"/>
              </w:rPr>
            </w:pPr>
          </w:p>
        </w:tc>
      </w:tr>
      <w:tr w14:paraId="3ABEC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2A117105">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电话</w:t>
            </w:r>
          </w:p>
        </w:tc>
        <w:tc>
          <w:tcPr>
            <w:tcW w:w="3457" w:type="pct"/>
            <w:vAlign w:val="center"/>
          </w:tcPr>
          <w:p w14:paraId="26AD51E4">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drawing>
                <wp:anchor distT="0" distB="0" distL="114300" distR="114300" simplePos="0" relativeHeight="251659264" behindDoc="1" locked="0" layoutInCell="1" allowOverlap="1">
                  <wp:simplePos x="0" y="0"/>
                  <wp:positionH relativeFrom="column">
                    <wp:posOffset>485775</wp:posOffset>
                  </wp:positionH>
                  <wp:positionV relativeFrom="paragraph">
                    <wp:posOffset>22225</wp:posOffset>
                  </wp:positionV>
                  <wp:extent cx="1504950" cy="1409700"/>
                  <wp:effectExtent l="0" t="0" r="0"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1504950" cy="1409700"/>
                          </a:xfrm>
                          <a:prstGeom prst="rect">
                            <a:avLst/>
                          </a:prstGeom>
                          <a:noFill/>
                          <a:ln>
                            <a:noFill/>
                          </a:ln>
                        </pic:spPr>
                      </pic:pic>
                    </a:graphicData>
                  </a:graphic>
                </wp:anchor>
              </w:drawing>
            </w:r>
          </w:p>
        </w:tc>
      </w:tr>
      <w:tr w14:paraId="0C133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05CD5086">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手机</w:t>
            </w:r>
          </w:p>
        </w:tc>
        <w:tc>
          <w:tcPr>
            <w:tcW w:w="3457" w:type="pct"/>
            <w:vAlign w:val="center"/>
          </w:tcPr>
          <w:p w14:paraId="0ECA0BA0">
            <w:pPr>
              <w:spacing w:after="0"/>
              <w:jc w:val="center"/>
              <w:rPr>
                <w:rFonts w:ascii="宋体" w:hAnsi="宋体" w:eastAsia="宋体" w:cs="宋体"/>
                <w:color w:val="auto"/>
                <w:sz w:val="32"/>
                <w:szCs w:val="32"/>
                <w:highlight w:val="none"/>
              </w:rPr>
            </w:pPr>
          </w:p>
        </w:tc>
      </w:tr>
      <w:tr w14:paraId="66313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199300D1">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传真</w:t>
            </w:r>
          </w:p>
        </w:tc>
        <w:tc>
          <w:tcPr>
            <w:tcW w:w="3457" w:type="pct"/>
            <w:vAlign w:val="center"/>
          </w:tcPr>
          <w:p w14:paraId="698793DB">
            <w:pPr>
              <w:spacing w:after="0"/>
              <w:jc w:val="center"/>
              <w:rPr>
                <w:rFonts w:ascii="宋体" w:hAnsi="宋体" w:eastAsia="宋体" w:cs="宋体"/>
                <w:color w:val="auto"/>
                <w:sz w:val="32"/>
                <w:szCs w:val="32"/>
                <w:highlight w:val="none"/>
              </w:rPr>
            </w:pPr>
          </w:p>
        </w:tc>
      </w:tr>
      <w:tr w14:paraId="4FD4D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504E8F5D">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电子邮箱</w:t>
            </w:r>
          </w:p>
        </w:tc>
        <w:tc>
          <w:tcPr>
            <w:tcW w:w="3457" w:type="pct"/>
            <w:vAlign w:val="center"/>
          </w:tcPr>
          <w:p w14:paraId="2A5E8CBD">
            <w:pPr>
              <w:spacing w:after="0"/>
              <w:jc w:val="center"/>
              <w:rPr>
                <w:rFonts w:ascii="宋体" w:hAnsi="宋体" w:eastAsia="宋体" w:cs="宋体"/>
                <w:color w:val="auto"/>
                <w:sz w:val="32"/>
                <w:szCs w:val="32"/>
                <w:highlight w:val="none"/>
              </w:rPr>
            </w:pPr>
          </w:p>
        </w:tc>
      </w:tr>
      <w:tr w14:paraId="56486E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7DBA259B">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单位地址及邮编</w:t>
            </w:r>
          </w:p>
        </w:tc>
        <w:tc>
          <w:tcPr>
            <w:tcW w:w="3457" w:type="pct"/>
            <w:vAlign w:val="center"/>
          </w:tcPr>
          <w:p w14:paraId="61B03D4B">
            <w:pPr>
              <w:spacing w:after="0"/>
              <w:jc w:val="center"/>
              <w:rPr>
                <w:rFonts w:ascii="宋体" w:hAnsi="宋体" w:eastAsia="宋体" w:cs="宋体"/>
                <w:color w:val="auto"/>
                <w:sz w:val="32"/>
                <w:szCs w:val="32"/>
                <w:highlight w:val="none"/>
              </w:rPr>
            </w:pPr>
          </w:p>
        </w:tc>
      </w:tr>
      <w:tr w14:paraId="607028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trPr>
        <w:tc>
          <w:tcPr>
            <w:tcW w:w="1542" w:type="pct"/>
            <w:vAlign w:val="center"/>
          </w:tcPr>
          <w:p w14:paraId="0EA7EB29">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备注</w:t>
            </w:r>
          </w:p>
        </w:tc>
        <w:tc>
          <w:tcPr>
            <w:tcW w:w="3457" w:type="pct"/>
            <w:vAlign w:val="center"/>
          </w:tcPr>
          <w:p w14:paraId="18DAD18D">
            <w:pPr>
              <w:spacing w:after="0"/>
              <w:jc w:val="center"/>
              <w:rPr>
                <w:rFonts w:ascii="宋体" w:hAnsi="宋体" w:eastAsia="宋体" w:cs="宋体"/>
                <w:color w:val="auto"/>
                <w:sz w:val="32"/>
                <w:szCs w:val="32"/>
                <w:highlight w:val="none"/>
              </w:rPr>
            </w:pPr>
          </w:p>
        </w:tc>
      </w:tr>
      <w:tr w14:paraId="73A34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78B097B9">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招标文件领取人签名</w:t>
            </w:r>
          </w:p>
        </w:tc>
        <w:tc>
          <w:tcPr>
            <w:tcW w:w="3457" w:type="pct"/>
            <w:vAlign w:val="center"/>
          </w:tcPr>
          <w:p w14:paraId="1E69612C">
            <w:pPr>
              <w:spacing w:after="0"/>
              <w:jc w:val="center"/>
              <w:rPr>
                <w:rFonts w:ascii="宋体" w:hAnsi="宋体" w:eastAsia="宋体" w:cs="宋体"/>
                <w:color w:val="auto"/>
                <w:sz w:val="32"/>
                <w:szCs w:val="32"/>
                <w:highlight w:val="none"/>
              </w:rPr>
            </w:pPr>
          </w:p>
        </w:tc>
      </w:tr>
      <w:tr w14:paraId="0A024A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67B6C975">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招标文件发售人签名</w:t>
            </w:r>
          </w:p>
        </w:tc>
        <w:tc>
          <w:tcPr>
            <w:tcW w:w="3457" w:type="pct"/>
            <w:vAlign w:val="center"/>
          </w:tcPr>
          <w:p w14:paraId="1ADA4915">
            <w:pPr>
              <w:spacing w:after="0"/>
              <w:jc w:val="center"/>
              <w:rPr>
                <w:rFonts w:ascii="宋体" w:hAnsi="宋体" w:eastAsia="宋体" w:cs="宋体"/>
                <w:color w:val="auto"/>
                <w:sz w:val="32"/>
                <w:szCs w:val="32"/>
                <w:highlight w:val="none"/>
              </w:rPr>
            </w:pPr>
          </w:p>
        </w:tc>
      </w:tr>
      <w:tr w14:paraId="2AF44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542" w:type="pct"/>
            <w:vAlign w:val="center"/>
          </w:tcPr>
          <w:p w14:paraId="67A06A73">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招标文件售价</w:t>
            </w:r>
          </w:p>
        </w:tc>
        <w:tc>
          <w:tcPr>
            <w:tcW w:w="3457" w:type="pct"/>
            <w:vAlign w:val="center"/>
          </w:tcPr>
          <w:p w14:paraId="70818DA2">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人民币</w:t>
            </w:r>
            <w:r>
              <w:rPr>
                <w:rFonts w:hint="eastAsia" w:ascii="宋体" w:hAnsi="宋体" w:eastAsia="宋体" w:cs="宋体"/>
                <w:color w:val="auto"/>
                <w:sz w:val="32"/>
                <w:szCs w:val="32"/>
                <w:highlight w:val="none"/>
                <w:lang w:eastAsia="zh-CN"/>
              </w:rPr>
              <w:t>300元</w:t>
            </w:r>
            <w:r>
              <w:rPr>
                <w:rFonts w:hint="eastAsia" w:ascii="宋体" w:hAnsi="宋体" w:eastAsia="宋体" w:cs="宋体"/>
                <w:color w:val="auto"/>
                <w:sz w:val="32"/>
                <w:szCs w:val="32"/>
                <w:highlight w:val="none"/>
              </w:rPr>
              <w:t>/份</w:t>
            </w:r>
          </w:p>
        </w:tc>
      </w:tr>
      <w:tr w14:paraId="5EE6B5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5000" w:type="pct"/>
            <w:gridSpan w:val="2"/>
            <w:vAlign w:val="center"/>
          </w:tcPr>
          <w:p w14:paraId="04BA2EB3">
            <w:pPr>
              <w:spacing w:after="0"/>
              <w:jc w:val="center"/>
              <w:rPr>
                <w:rFonts w:hint="eastAsia"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eastAsia="zh-CN"/>
              </w:rPr>
              <w:t>注：开完发票后请把报名表格交还至前台</w:t>
            </w:r>
          </w:p>
        </w:tc>
      </w:tr>
      <w:bookmarkEnd w:id="174"/>
    </w:tbl>
    <w:p w14:paraId="0B9D7414">
      <w:pPr>
        <w:rPr>
          <w:rFonts w:hint="default"/>
          <w:color w:val="auto"/>
          <w:highlight w:val="none"/>
          <w:lang w:val="en-US" w:eastAsia="zh-CN"/>
        </w:rPr>
      </w:pPr>
    </w:p>
    <w:sectPr>
      <w:footerReference r:id="rId6" w:type="first"/>
      <w:footerReference r:id="rId5" w:type="default"/>
      <w:pgSz w:w="11906" w:h="16838"/>
      <w:pgMar w:top="1440" w:right="1800" w:bottom="1440" w:left="1800" w:header="708" w:footer="708" w:gutter="0"/>
      <w:pgNumType w:start="1"/>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C07">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9D884D">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 NUMPAGES  \* MERGEFORMAT </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fldChar w:fldCharType="separate"/>
                          </w:r>
                          <w:r>
                            <w:rPr>
                              <w:rFonts w:hint="eastAsia"/>
                            </w:rPr>
                            <w:t>62</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14:paraId="6F9D884D">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 NUMPAGES  \* MERGEFORMAT </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fldChar w:fldCharType="separate"/>
                    </w:r>
                    <w:r>
                      <w:rPr>
                        <w:rFonts w:hint="eastAsia"/>
                      </w:rPr>
                      <w:t>62</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7765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711A036">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 NUMPAGES  \* MERGEFORMAT </w:instrText>
                          </w:r>
                          <w:r>
                            <w:rPr>
                              <w:rFonts w:hint="eastAsia"/>
                              <w:lang w:val="en-US" w:eastAsia="zh-CN"/>
                            </w:rPr>
                            <w:fldChar w:fldCharType="separate"/>
                          </w:r>
                          <w:r>
                            <w:rPr>
                              <w:rFonts w:hint="eastAsia"/>
                              <w:lang w:val="en-US" w:eastAsia="zh-CN"/>
                            </w:rPr>
                            <w:instrText xml:space="preserve">71</w:instrText>
                          </w:r>
                          <w:r>
                            <w:rPr>
                              <w:rFonts w:hint="eastAsia"/>
                              <w:lang w:val="en-US" w:eastAsia="zh-CN"/>
                            </w:rPr>
                            <w:fldChar w:fldCharType="end"/>
                          </w:r>
                          <w:r>
                            <w:rPr>
                              <w:rFonts w:hint="eastAsia"/>
                              <w:lang w:val="en-US" w:eastAsia="zh-CN"/>
                            </w:rPr>
                            <w:instrText xml:space="preserve">-1</w:instrText>
                          </w:r>
                          <w:r>
                            <w:fldChar w:fldCharType="separate"/>
                          </w:r>
                          <w:r>
                            <w:rPr>
                              <w:rFonts w:hint="eastAsia"/>
                            </w:rPr>
                            <w:t>62</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mG9hazAEAAJkDAAAOAAAAAAAAAAEAIAAAAB4BAABkcnMvZTJv&#10;RG9jLnhtbFBLBQYAAAAABgAGAFkBAABcBQAAAAA=&#10;">
              <v:fill on="f" focussize="0,0"/>
              <v:stroke on="f"/>
              <v:imagedata o:title=""/>
              <o:lock v:ext="edit" aspectratio="f"/>
              <v:textbox inset="0mm,0mm,0mm,0mm" style="mso-fit-shape-to-text:t;">
                <w:txbxContent>
                  <w:p w14:paraId="2711A036">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 NUMPAGES  \* MERGEFORMAT </w:instrText>
                    </w:r>
                    <w:r>
                      <w:rPr>
                        <w:rFonts w:hint="eastAsia"/>
                        <w:lang w:val="en-US" w:eastAsia="zh-CN"/>
                      </w:rPr>
                      <w:fldChar w:fldCharType="separate"/>
                    </w:r>
                    <w:r>
                      <w:rPr>
                        <w:rFonts w:hint="eastAsia"/>
                        <w:lang w:val="en-US" w:eastAsia="zh-CN"/>
                      </w:rPr>
                      <w:instrText xml:space="preserve">71</w:instrText>
                    </w:r>
                    <w:r>
                      <w:rPr>
                        <w:rFonts w:hint="eastAsia"/>
                        <w:lang w:val="en-US" w:eastAsia="zh-CN"/>
                      </w:rPr>
                      <w:fldChar w:fldCharType="end"/>
                    </w:r>
                    <w:r>
                      <w:rPr>
                        <w:rFonts w:hint="eastAsia"/>
                        <w:lang w:val="en-US" w:eastAsia="zh-CN"/>
                      </w:rPr>
                      <w:instrText xml:space="preserve">-1</w:instrText>
                    </w:r>
                    <w:r>
                      <w:fldChar w:fldCharType="separate"/>
                    </w:r>
                    <w:r>
                      <w:rPr>
                        <w:rFonts w:hint="eastAsia"/>
                      </w:rPr>
                      <w:t>62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548B">
    <w:pPr>
      <w:pStyle w:val="11"/>
      <w:jc w:val="left"/>
      <w:rPr>
        <w:rFonts w:hint="eastAsia" w:eastAsia="微软雅黑"/>
        <w:lang w:eastAsia="zh-CN"/>
      </w:rPr>
    </w:pPr>
    <w:r>
      <w:rPr>
        <w:rFonts w:hint="eastAsia"/>
        <w:lang w:eastAsia="zh-CN"/>
      </w:rPr>
      <w:t>国内采购公开招标文件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3126E"/>
    <w:multiLevelType w:val="singleLevel"/>
    <w:tmpl w:val="8D63126E"/>
    <w:lvl w:ilvl="0" w:tentative="0">
      <w:start w:val="5"/>
      <w:numFmt w:val="chineseCounting"/>
      <w:suff w:val="space"/>
      <w:lvlText w:val="第%1部分"/>
      <w:lvlJc w:val="left"/>
      <w:rPr>
        <w:rFonts w:hint="eastAsia"/>
      </w:rPr>
    </w:lvl>
  </w:abstractNum>
  <w:abstractNum w:abstractNumId="1">
    <w:nsid w:val="93587489"/>
    <w:multiLevelType w:val="singleLevel"/>
    <w:tmpl w:val="93587489"/>
    <w:lvl w:ilvl="0" w:tentative="0">
      <w:start w:val="1"/>
      <w:numFmt w:val="decimal"/>
      <w:suff w:val="nothing"/>
      <w:lvlText w:val="%1、"/>
      <w:lvlJc w:val="left"/>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F73DC5D7"/>
    <w:multiLevelType w:val="singleLevel"/>
    <w:tmpl w:val="F73DC5D7"/>
    <w:lvl w:ilvl="0" w:tentative="0">
      <w:start w:val="1"/>
      <w:numFmt w:val="decimal"/>
      <w:suff w:val="nothing"/>
      <w:lvlText w:val="（%1）"/>
      <w:lvlJc w:val="left"/>
      <w:pPr>
        <w:ind w:left="660"/>
      </w:pPr>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06CABF7"/>
    <w:multiLevelType w:val="singleLevel"/>
    <w:tmpl w:val="206CABF7"/>
    <w:lvl w:ilvl="0" w:tentative="0">
      <w:start w:val="1"/>
      <w:numFmt w:val="decimal"/>
      <w:suff w:val="nothing"/>
      <w:lvlText w:val="（%1）"/>
      <w:lvlJc w:val="left"/>
    </w:lvl>
  </w:abstractNum>
  <w:abstractNum w:abstractNumId="7">
    <w:nsid w:val="2D125156"/>
    <w:multiLevelType w:val="singleLevel"/>
    <w:tmpl w:val="2D125156"/>
    <w:lvl w:ilvl="0" w:tentative="0">
      <w:start w:val="2"/>
      <w:numFmt w:val="chineseCounting"/>
      <w:suff w:val="nothing"/>
      <w:lvlText w:val="%1、"/>
      <w:lvlJc w:val="left"/>
      <w:rPr>
        <w:rFonts w:hint="eastAsia"/>
      </w:rPr>
    </w:lvl>
  </w:abstractNum>
  <w:abstractNum w:abstractNumId="8">
    <w:nsid w:val="3F88662E"/>
    <w:multiLevelType w:val="singleLevel"/>
    <w:tmpl w:val="3F88662E"/>
    <w:lvl w:ilvl="0" w:tentative="0">
      <w:start w:val="1"/>
      <w:numFmt w:val="decimal"/>
      <w:suff w:val="space"/>
      <w:lvlText w:val="%1)"/>
      <w:lvlJc w:val="left"/>
    </w:lvl>
  </w:abstractNum>
  <w:abstractNum w:abstractNumId="9">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9"/>
  </w:num>
  <w:num w:numId="3">
    <w:abstractNumId w:val="8"/>
  </w:num>
  <w:num w:numId="4">
    <w:abstractNumId w:val="6"/>
  </w:num>
  <w:num w:numId="5">
    <w:abstractNumId w:val="4"/>
  </w:num>
  <w:num w:numId="6">
    <w:abstractNumId w:val="0"/>
  </w:num>
  <w:num w:numId="7">
    <w:abstractNumId w:val="2"/>
  </w:num>
  <w:num w:numId="8">
    <w:abstractNumId w:val="5"/>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kZGMxMDkyNjQ5NTkzOTgyYjBmMjI5NGM0NGU3ZjcifQ=="/>
  </w:docVars>
  <w:rsids>
    <w:rsidRoot w:val="00664F6B"/>
    <w:rsid w:val="00006462"/>
    <w:rsid w:val="000300E4"/>
    <w:rsid w:val="0003307E"/>
    <w:rsid w:val="000336BA"/>
    <w:rsid w:val="000359A1"/>
    <w:rsid w:val="0007500F"/>
    <w:rsid w:val="0008282E"/>
    <w:rsid w:val="000A363F"/>
    <w:rsid w:val="000A42A8"/>
    <w:rsid w:val="000A5063"/>
    <w:rsid w:val="000A5DBD"/>
    <w:rsid w:val="000C4524"/>
    <w:rsid w:val="000D44A6"/>
    <w:rsid w:val="000D5273"/>
    <w:rsid w:val="000F09D9"/>
    <w:rsid w:val="000F0E98"/>
    <w:rsid w:val="001049A5"/>
    <w:rsid w:val="001242F3"/>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4C00"/>
    <w:rsid w:val="00247AE0"/>
    <w:rsid w:val="002504F8"/>
    <w:rsid w:val="00260AC1"/>
    <w:rsid w:val="0026312D"/>
    <w:rsid w:val="0027078E"/>
    <w:rsid w:val="00284156"/>
    <w:rsid w:val="00285643"/>
    <w:rsid w:val="002867A1"/>
    <w:rsid w:val="002901F8"/>
    <w:rsid w:val="002A540A"/>
    <w:rsid w:val="002B4087"/>
    <w:rsid w:val="002B5F6C"/>
    <w:rsid w:val="002C165E"/>
    <w:rsid w:val="002C6C78"/>
    <w:rsid w:val="002D1594"/>
    <w:rsid w:val="002D3F9C"/>
    <w:rsid w:val="002D503C"/>
    <w:rsid w:val="002D7E27"/>
    <w:rsid w:val="002E17E5"/>
    <w:rsid w:val="002E6B7E"/>
    <w:rsid w:val="0030669E"/>
    <w:rsid w:val="00320CEA"/>
    <w:rsid w:val="00323B43"/>
    <w:rsid w:val="00326831"/>
    <w:rsid w:val="003274CE"/>
    <w:rsid w:val="003430F6"/>
    <w:rsid w:val="0038564C"/>
    <w:rsid w:val="00393B1D"/>
    <w:rsid w:val="003A1D97"/>
    <w:rsid w:val="003C3B19"/>
    <w:rsid w:val="003C412B"/>
    <w:rsid w:val="003C415C"/>
    <w:rsid w:val="003D36FB"/>
    <w:rsid w:val="003D37D8"/>
    <w:rsid w:val="003E2B8C"/>
    <w:rsid w:val="003F4822"/>
    <w:rsid w:val="00401CC0"/>
    <w:rsid w:val="00410F11"/>
    <w:rsid w:val="004203B9"/>
    <w:rsid w:val="00421BCF"/>
    <w:rsid w:val="004322A2"/>
    <w:rsid w:val="004358AB"/>
    <w:rsid w:val="00451EB4"/>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269A9"/>
    <w:rsid w:val="00546A42"/>
    <w:rsid w:val="0055408D"/>
    <w:rsid w:val="0057492D"/>
    <w:rsid w:val="00590819"/>
    <w:rsid w:val="00593D68"/>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2497"/>
    <w:rsid w:val="006276AD"/>
    <w:rsid w:val="006378D4"/>
    <w:rsid w:val="0064416A"/>
    <w:rsid w:val="0065365D"/>
    <w:rsid w:val="0065543F"/>
    <w:rsid w:val="00664F6B"/>
    <w:rsid w:val="006731D2"/>
    <w:rsid w:val="00682986"/>
    <w:rsid w:val="006913C9"/>
    <w:rsid w:val="00691701"/>
    <w:rsid w:val="00691AE0"/>
    <w:rsid w:val="0069491E"/>
    <w:rsid w:val="006B7878"/>
    <w:rsid w:val="006C14BD"/>
    <w:rsid w:val="006C28E5"/>
    <w:rsid w:val="006D1BA8"/>
    <w:rsid w:val="006D393E"/>
    <w:rsid w:val="006D4AD8"/>
    <w:rsid w:val="006E0B58"/>
    <w:rsid w:val="006E0C4B"/>
    <w:rsid w:val="007110BA"/>
    <w:rsid w:val="00711465"/>
    <w:rsid w:val="0072310A"/>
    <w:rsid w:val="00723B11"/>
    <w:rsid w:val="007343A7"/>
    <w:rsid w:val="00734BB2"/>
    <w:rsid w:val="0075028E"/>
    <w:rsid w:val="007608B9"/>
    <w:rsid w:val="00761AAB"/>
    <w:rsid w:val="007724B4"/>
    <w:rsid w:val="007818FB"/>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3E43"/>
    <w:rsid w:val="0083486A"/>
    <w:rsid w:val="00841378"/>
    <w:rsid w:val="00842B87"/>
    <w:rsid w:val="00845BEB"/>
    <w:rsid w:val="008472E6"/>
    <w:rsid w:val="00853463"/>
    <w:rsid w:val="0086026F"/>
    <w:rsid w:val="008640F5"/>
    <w:rsid w:val="008907DA"/>
    <w:rsid w:val="008A0587"/>
    <w:rsid w:val="008B7726"/>
    <w:rsid w:val="008D429E"/>
    <w:rsid w:val="008D5A10"/>
    <w:rsid w:val="008E319F"/>
    <w:rsid w:val="008E619C"/>
    <w:rsid w:val="008F6E0E"/>
    <w:rsid w:val="008F79E1"/>
    <w:rsid w:val="00906F49"/>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D55C3"/>
    <w:rsid w:val="009E398C"/>
    <w:rsid w:val="009E6F05"/>
    <w:rsid w:val="00A10906"/>
    <w:rsid w:val="00A14EEF"/>
    <w:rsid w:val="00A25E78"/>
    <w:rsid w:val="00A61230"/>
    <w:rsid w:val="00A813C5"/>
    <w:rsid w:val="00A824E6"/>
    <w:rsid w:val="00A858DC"/>
    <w:rsid w:val="00A94D14"/>
    <w:rsid w:val="00AB19CE"/>
    <w:rsid w:val="00AB3969"/>
    <w:rsid w:val="00AC187B"/>
    <w:rsid w:val="00AC5C21"/>
    <w:rsid w:val="00AE310E"/>
    <w:rsid w:val="00AE4FC5"/>
    <w:rsid w:val="00AF5F1F"/>
    <w:rsid w:val="00B027A4"/>
    <w:rsid w:val="00B236B3"/>
    <w:rsid w:val="00B26534"/>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C584A"/>
    <w:rsid w:val="00CC5E4E"/>
    <w:rsid w:val="00CD0EAB"/>
    <w:rsid w:val="00CE2AF3"/>
    <w:rsid w:val="00CE3195"/>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40CAD"/>
    <w:rsid w:val="00E44530"/>
    <w:rsid w:val="00E61D2E"/>
    <w:rsid w:val="00E62B7F"/>
    <w:rsid w:val="00E726BC"/>
    <w:rsid w:val="00E72821"/>
    <w:rsid w:val="00E81DDC"/>
    <w:rsid w:val="00E81F67"/>
    <w:rsid w:val="00E83650"/>
    <w:rsid w:val="00E83A31"/>
    <w:rsid w:val="00E93E51"/>
    <w:rsid w:val="00E97CC0"/>
    <w:rsid w:val="00EA2524"/>
    <w:rsid w:val="00EC092D"/>
    <w:rsid w:val="00EC0DF8"/>
    <w:rsid w:val="00ED378B"/>
    <w:rsid w:val="00EE08F9"/>
    <w:rsid w:val="00EE5B3F"/>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4A197B"/>
    <w:rsid w:val="018023CE"/>
    <w:rsid w:val="01881AD6"/>
    <w:rsid w:val="018D66D3"/>
    <w:rsid w:val="01B938AA"/>
    <w:rsid w:val="02126CDB"/>
    <w:rsid w:val="021832B7"/>
    <w:rsid w:val="0249299B"/>
    <w:rsid w:val="024C279F"/>
    <w:rsid w:val="024E2E49"/>
    <w:rsid w:val="02533F0F"/>
    <w:rsid w:val="02A741FD"/>
    <w:rsid w:val="02B5367C"/>
    <w:rsid w:val="02C16E5D"/>
    <w:rsid w:val="02D964CF"/>
    <w:rsid w:val="031C3562"/>
    <w:rsid w:val="03707410"/>
    <w:rsid w:val="037F03E3"/>
    <w:rsid w:val="0385459C"/>
    <w:rsid w:val="03A0770F"/>
    <w:rsid w:val="03A27BF9"/>
    <w:rsid w:val="03A448B8"/>
    <w:rsid w:val="03AD071E"/>
    <w:rsid w:val="03ED6304"/>
    <w:rsid w:val="044A6E71"/>
    <w:rsid w:val="04852899"/>
    <w:rsid w:val="04DF1036"/>
    <w:rsid w:val="05A97DEC"/>
    <w:rsid w:val="05C81981"/>
    <w:rsid w:val="05DB66F5"/>
    <w:rsid w:val="05FD3AF6"/>
    <w:rsid w:val="065D535C"/>
    <w:rsid w:val="06BC41F2"/>
    <w:rsid w:val="07197D08"/>
    <w:rsid w:val="071C2CFD"/>
    <w:rsid w:val="071E5C55"/>
    <w:rsid w:val="073F7319"/>
    <w:rsid w:val="07595F41"/>
    <w:rsid w:val="07615EC0"/>
    <w:rsid w:val="077005AB"/>
    <w:rsid w:val="078F4581"/>
    <w:rsid w:val="07995C5E"/>
    <w:rsid w:val="07BE179A"/>
    <w:rsid w:val="07BF027F"/>
    <w:rsid w:val="08031A31"/>
    <w:rsid w:val="081A5CC7"/>
    <w:rsid w:val="084A4C53"/>
    <w:rsid w:val="08850B9A"/>
    <w:rsid w:val="08A276E5"/>
    <w:rsid w:val="08D613F6"/>
    <w:rsid w:val="09061A75"/>
    <w:rsid w:val="09182241"/>
    <w:rsid w:val="092C5DD8"/>
    <w:rsid w:val="093C069F"/>
    <w:rsid w:val="09855177"/>
    <w:rsid w:val="09D05E45"/>
    <w:rsid w:val="09F1637C"/>
    <w:rsid w:val="0A25628F"/>
    <w:rsid w:val="0AA534D5"/>
    <w:rsid w:val="0AA650EB"/>
    <w:rsid w:val="0AB8066A"/>
    <w:rsid w:val="0ACF69F0"/>
    <w:rsid w:val="0AF47339"/>
    <w:rsid w:val="0B22594B"/>
    <w:rsid w:val="0BC044BE"/>
    <w:rsid w:val="0BDF26F7"/>
    <w:rsid w:val="0C253327"/>
    <w:rsid w:val="0C264099"/>
    <w:rsid w:val="0C2B4952"/>
    <w:rsid w:val="0C2F7743"/>
    <w:rsid w:val="0C520830"/>
    <w:rsid w:val="0C7B2220"/>
    <w:rsid w:val="0CBE36E5"/>
    <w:rsid w:val="0CEE31B2"/>
    <w:rsid w:val="0D890E47"/>
    <w:rsid w:val="0DAC6867"/>
    <w:rsid w:val="0DC64A00"/>
    <w:rsid w:val="0DFC60BA"/>
    <w:rsid w:val="0E4249F1"/>
    <w:rsid w:val="0EA21BDD"/>
    <w:rsid w:val="0F615AC3"/>
    <w:rsid w:val="0F696B20"/>
    <w:rsid w:val="0F7C5FF6"/>
    <w:rsid w:val="0FC16490"/>
    <w:rsid w:val="0FC63FBD"/>
    <w:rsid w:val="10204A5C"/>
    <w:rsid w:val="106C564D"/>
    <w:rsid w:val="107B7B8F"/>
    <w:rsid w:val="107C67CE"/>
    <w:rsid w:val="10924ABA"/>
    <w:rsid w:val="109D68CB"/>
    <w:rsid w:val="10A949B8"/>
    <w:rsid w:val="11200D07"/>
    <w:rsid w:val="11360F47"/>
    <w:rsid w:val="11D43C13"/>
    <w:rsid w:val="11D93B25"/>
    <w:rsid w:val="11DA73AF"/>
    <w:rsid w:val="12C60D80"/>
    <w:rsid w:val="12FE11BE"/>
    <w:rsid w:val="131F7A3A"/>
    <w:rsid w:val="132645D0"/>
    <w:rsid w:val="132E28A8"/>
    <w:rsid w:val="13364603"/>
    <w:rsid w:val="13455ABC"/>
    <w:rsid w:val="1370322B"/>
    <w:rsid w:val="13B27845"/>
    <w:rsid w:val="141A03E1"/>
    <w:rsid w:val="143B2E0B"/>
    <w:rsid w:val="14435ECB"/>
    <w:rsid w:val="14672B11"/>
    <w:rsid w:val="14892735"/>
    <w:rsid w:val="14CC769D"/>
    <w:rsid w:val="14CF4234"/>
    <w:rsid w:val="155913E5"/>
    <w:rsid w:val="15BA031B"/>
    <w:rsid w:val="15D359D7"/>
    <w:rsid w:val="15D81E0F"/>
    <w:rsid w:val="163C77BE"/>
    <w:rsid w:val="167352A7"/>
    <w:rsid w:val="1679588C"/>
    <w:rsid w:val="16994962"/>
    <w:rsid w:val="16A71041"/>
    <w:rsid w:val="16AA24BF"/>
    <w:rsid w:val="16F72341"/>
    <w:rsid w:val="17247020"/>
    <w:rsid w:val="17680CAB"/>
    <w:rsid w:val="176E4128"/>
    <w:rsid w:val="1774471D"/>
    <w:rsid w:val="1783371F"/>
    <w:rsid w:val="17A86834"/>
    <w:rsid w:val="17E62B67"/>
    <w:rsid w:val="180F4499"/>
    <w:rsid w:val="18174E28"/>
    <w:rsid w:val="18221ECE"/>
    <w:rsid w:val="188D7D23"/>
    <w:rsid w:val="18D55E7B"/>
    <w:rsid w:val="19A2789F"/>
    <w:rsid w:val="19C937D2"/>
    <w:rsid w:val="19FE255B"/>
    <w:rsid w:val="1A3D7527"/>
    <w:rsid w:val="1A460CF5"/>
    <w:rsid w:val="1A7F297D"/>
    <w:rsid w:val="1A8C7D5A"/>
    <w:rsid w:val="1AB16AC1"/>
    <w:rsid w:val="1AF16E9A"/>
    <w:rsid w:val="1B034A52"/>
    <w:rsid w:val="1B1F34AD"/>
    <w:rsid w:val="1B8D5DC6"/>
    <w:rsid w:val="1B9C027D"/>
    <w:rsid w:val="1C2775EC"/>
    <w:rsid w:val="1C750ECE"/>
    <w:rsid w:val="1D0836D7"/>
    <w:rsid w:val="1D196139"/>
    <w:rsid w:val="1D5A03F0"/>
    <w:rsid w:val="1D980110"/>
    <w:rsid w:val="1DB85900"/>
    <w:rsid w:val="1E010AF7"/>
    <w:rsid w:val="1E0178EB"/>
    <w:rsid w:val="1E301173"/>
    <w:rsid w:val="1E6E7FF5"/>
    <w:rsid w:val="1E7052F1"/>
    <w:rsid w:val="1EA40BB4"/>
    <w:rsid w:val="1F43381C"/>
    <w:rsid w:val="1FA4148D"/>
    <w:rsid w:val="1FD168BE"/>
    <w:rsid w:val="1FD37809"/>
    <w:rsid w:val="20121621"/>
    <w:rsid w:val="201A421D"/>
    <w:rsid w:val="204E554F"/>
    <w:rsid w:val="205475FA"/>
    <w:rsid w:val="20590035"/>
    <w:rsid w:val="20880DD0"/>
    <w:rsid w:val="20B473ED"/>
    <w:rsid w:val="20FC799E"/>
    <w:rsid w:val="22154DDD"/>
    <w:rsid w:val="22213E42"/>
    <w:rsid w:val="22336873"/>
    <w:rsid w:val="22622A86"/>
    <w:rsid w:val="238C2182"/>
    <w:rsid w:val="239015D1"/>
    <w:rsid w:val="23BB4E7D"/>
    <w:rsid w:val="23C172D6"/>
    <w:rsid w:val="23F04F64"/>
    <w:rsid w:val="241B0EE7"/>
    <w:rsid w:val="24333877"/>
    <w:rsid w:val="24814CBE"/>
    <w:rsid w:val="24AC168B"/>
    <w:rsid w:val="258C3BEC"/>
    <w:rsid w:val="260E3862"/>
    <w:rsid w:val="262569FC"/>
    <w:rsid w:val="26344C98"/>
    <w:rsid w:val="26A26926"/>
    <w:rsid w:val="26F47E27"/>
    <w:rsid w:val="26F56CE2"/>
    <w:rsid w:val="27A34F71"/>
    <w:rsid w:val="27B36A67"/>
    <w:rsid w:val="27EB0D9B"/>
    <w:rsid w:val="282536B2"/>
    <w:rsid w:val="285D5CFF"/>
    <w:rsid w:val="286602C8"/>
    <w:rsid w:val="28665C95"/>
    <w:rsid w:val="28B5297E"/>
    <w:rsid w:val="28BD3BFB"/>
    <w:rsid w:val="28D218CE"/>
    <w:rsid w:val="290B3EB9"/>
    <w:rsid w:val="291418C2"/>
    <w:rsid w:val="292F7F60"/>
    <w:rsid w:val="2938789E"/>
    <w:rsid w:val="2950768C"/>
    <w:rsid w:val="297A5FC4"/>
    <w:rsid w:val="2A1113BC"/>
    <w:rsid w:val="2A810FBB"/>
    <w:rsid w:val="2A8D4F8F"/>
    <w:rsid w:val="2A911082"/>
    <w:rsid w:val="2A917B34"/>
    <w:rsid w:val="2AE3766F"/>
    <w:rsid w:val="2B7E4054"/>
    <w:rsid w:val="2BF22742"/>
    <w:rsid w:val="2C987C56"/>
    <w:rsid w:val="2C9B617E"/>
    <w:rsid w:val="2C9F690E"/>
    <w:rsid w:val="2CF0371A"/>
    <w:rsid w:val="2CFF149A"/>
    <w:rsid w:val="2D201865"/>
    <w:rsid w:val="2D4B5CEA"/>
    <w:rsid w:val="2D505AA8"/>
    <w:rsid w:val="2D652658"/>
    <w:rsid w:val="2DC80C49"/>
    <w:rsid w:val="2DCA6355"/>
    <w:rsid w:val="2DF0699F"/>
    <w:rsid w:val="2E166748"/>
    <w:rsid w:val="2E556F01"/>
    <w:rsid w:val="2E8E20B4"/>
    <w:rsid w:val="2E9128E7"/>
    <w:rsid w:val="2EA81D8B"/>
    <w:rsid w:val="2EC23FA9"/>
    <w:rsid w:val="2ED06066"/>
    <w:rsid w:val="2ED1223D"/>
    <w:rsid w:val="2EE470F7"/>
    <w:rsid w:val="2F000139"/>
    <w:rsid w:val="2F2A73BE"/>
    <w:rsid w:val="2F3B658D"/>
    <w:rsid w:val="2F561B8A"/>
    <w:rsid w:val="2F886105"/>
    <w:rsid w:val="2F9F42DC"/>
    <w:rsid w:val="2FA620C1"/>
    <w:rsid w:val="2FF37AB3"/>
    <w:rsid w:val="30234671"/>
    <w:rsid w:val="30306B78"/>
    <w:rsid w:val="30D616E4"/>
    <w:rsid w:val="30FF27D2"/>
    <w:rsid w:val="31170995"/>
    <w:rsid w:val="31240628"/>
    <w:rsid w:val="31264A30"/>
    <w:rsid w:val="31884E67"/>
    <w:rsid w:val="31A0275E"/>
    <w:rsid w:val="31C355D4"/>
    <w:rsid w:val="31ED6B08"/>
    <w:rsid w:val="323E39E4"/>
    <w:rsid w:val="3245309D"/>
    <w:rsid w:val="328464CE"/>
    <w:rsid w:val="32AB70C5"/>
    <w:rsid w:val="32DC33E0"/>
    <w:rsid w:val="32FD5BB6"/>
    <w:rsid w:val="331F0BD0"/>
    <w:rsid w:val="335D0AF5"/>
    <w:rsid w:val="3370088C"/>
    <w:rsid w:val="33A3154A"/>
    <w:rsid w:val="33A9683E"/>
    <w:rsid w:val="33D323C2"/>
    <w:rsid w:val="33DC2F78"/>
    <w:rsid w:val="3428227C"/>
    <w:rsid w:val="34452DC0"/>
    <w:rsid w:val="345408E4"/>
    <w:rsid w:val="35260F83"/>
    <w:rsid w:val="35383FD8"/>
    <w:rsid w:val="35602226"/>
    <w:rsid w:val="356B72E7"/>
    <w:rsid w:val="3572424F"/>
    <w:rsid w:val="35862F35"/>
    <w:rsid w:val="35DE3E0E"/>
    <w:rsid w:val="35FC3844"/>
    <w:rsid w:val="35FF0BB5"/>
    <w:rsid w:val="36A85654"/>
    <w:rsid w:val="36AD519D"/>
    <w:rsid w:val="36B57705"/>
    <w:rsid w:val="36C65B9E"/>
    <w:rsid w:val="36C95F72"/>
    <w:rsid w:val="370838C8"/>
    <w:rsid w:val="37A103ED"/>
    <w:rsid w:val="37A15FDF"/>
    <w:rsid w:val="37EA5E6E"/>
    <w:rsid w:val="37FF016F"/>
    <w:rsid w:val="38223A66"/>
    <w:rsid w:val="38427C0B"/>
    <w:rsid w:val="386F6AB4"/>
    <w:rsid w:val="387C5ABE"/>
    <w:rsid w:val="389B3A1E"/>
    <w:rsid w:val="38BC039E"/>
    <w:rsid w:val="38E93452"/>
    <w:rsid w:val="38EB6119"/>
    <w:rsid w:val="39FE0BE9"/>
    <w:rsid w:val="3A3C1AAF"/>
    <w:rsid w:val="3A51228C"/>
    <w:rsid w:val="3A552E60"/>
    <w:rsid w:val="3A5D642F"/>
    <w:rsid w:val="3A75574D"/>
    <w:rsid w:val="3A76114A"/>
    <w:rsid w:val="3A777A93"/>
    <w:rsid w:val="3AB210FC"/>
    <w:rsid w:val="3AC27689"/>
    <w:rsid w:val="3AD95C13"/>
    <w:rsid w:val="3B261E51"/>
    <w:rsid w:val="3BCD72F7"/>
    <w:rsid w:val="3BE9317E"/>
    <w:rsid w:val="3C3C047F"/>
    <w:rsid w:val="3C414142"/>
    <w:rsid w:val="3CF737A2"/>
    <w:rsid w:val="3D10295A"/>
    <w:rsid w:val="3D392227"/>
    <w:rsid w:val="3D736514"/>
    <w:rsid w:val="3D7A5142"/>
    <w:rsid w:val="3DD43E73"/>
    <w:rsid w:val="3E0572FD"/>
    <w:rsid w:val="3E1A5292"/>
    <w:rsid w:val="3E1D6CCB"/>
    <w:rsid w:val="3E5A7FE7"/>
    <w:rsid w:val="3EC8179E"/>
    <w:rsid w:val="3ED90D1D"/>
    <w:rsid w:val="3EF66B2E"/>
    <w:rsid w:val="3F217914"/>
    <w:rsid w:val="3F521E8F"/>
    <w:rsid w:val="3FD70BB0"/>
    <w:rsid w:val="3FFB55AC"/>
    <w:rsid w:val="401C5F9D"/>
    <w:rsid w:val="401C690C"/>
    <w:rsid w:val="401D7195"/>
    <w:rsid w:val="403A4629"/>
    <w:rsid w:val="40CA767F"/>
    <w:rsid w:val="40CB02B8"/>
    <w:rsid w:val="40CE3DC0"/>
    <w:rsid w:val="40D7455A"/>
    <w:rsid w:val="40E743E5"/>
    <w:rsid w:val="4110038E"/>
    <w:rsid w:val="41734CBA"/>
    <w:rsid w:val="417C3414"/>
    <w:rsid w:val="41DD7057"/>
    <w:rsid w:val="41FE3FEA"/>
    <w:rsid w:val="420F7A65"/>
    <w:rsid w:val="4216611A"/>
    <w:rsid w:val="423E300F"/>
    <w:rsid w:val="425656C8"/>
    <w:rsid w:val="4257273C"/>
    <w:rsid w:val="425D7213"/>
    <w:rsid w:val="42677B61"/>
    <w:rsid w:val="42756DB0"/>
    <w:rsid w:val="42B21AD2"/>
    <w:rsid w:val="42FD694D"/>
    <w:rsid w:val="43FA5777"/>
    <w:rsid w:val="44044D92"/>
    <w:rsid w:val="441C1611"/>
    <w:rsid w:val="443C2E56"/>
    <w:rsid w:val="443C440B"/>
    <w:rsid w:val="443F7DBF"/>
    <w:rsid w:val="44514F52"/>
    <w:rsid w:val="44867251"/>
    <w:rsid w:val="448965CB"/>
    <w:rsid w:val="44FA2D53"/>
    <w:rsid w:val="45561B36"/>
    <w:rsid w:val="4571374F"/>
    <w:rsid w:val="458B1BB0"/>
    <w:rsid w:val="45E5269D"/>
    <w:rsid w:val="4611075B"/>
    <w:rsid w:val="46214818"/>
    <w:rsid w:val="463A279D"/>
    <w:rsid w:val="467A0297"/>
    <w:rsid w:val="468B7125"/>
    <w:rsid w:val="46C4691F"/>
    <w:rsid w:val="46E1045D"/>
    <w:rsid w:val="477C0DDF"/>
    <w:rsid w:val="479D1D34"/>
    <w:rsid w:val="47B609C0"/>
    <w:rsid w:val="47C307BC"/>
    <w:rsid w:val="47E0311C"/>
    <w:rsid w:val="47F22E4F"/>
    <w:rsid w:val="480A798E"/>
    <w:rsid w:val="482D31EA"/>
    <w:rsid w:val="484E375C"/>
    <w:rsid w:val="485970A0"/>
    <w:rsid w:val="48A41906"/>
    <w:rsid w:val="48B011CE"/>
    <w:rsid w:val="48B0738C"/>
    <w:rsid w:val="48B44984"/>
    <w:rsid w:val="48B65C71"/>
    <w:rsid w:val="48F303D7"/>
    <w:rsid w:val="492837FF"/>
    <w:rsid w:val="492E6A57"/>
    <w:rsid w:val="4A0030EE"/>
    <w:rsid w:val="4A233069"/>
    <w:rsid w:val="4A4B611A"/>
    <w:rsid w:val="4A553F2B"/>
    <w:rsid w:val="4AC36065"/>
    <w:rsid w:val="4B0E36E4"/>
    <w:rsid w:val="4B7501F5"/>
    <w:rsid w:val="4B8C2DEB"/>
    <w:rsid w:val="4BFA3C9F"/>
    <w:rsid w:val="4C0E3379"/>
    <w:rsid w:val="4C107F48"/>
    <w:rsid w:val="4C3277BC"/>
    <w:rsid w:val="4C4847DA"/>
    <w:rsid w:val="4CC353EB"/>
    <w:rsid w:val="4CEF2539"/>
    <w:rsid w:val="4CF36F3C"/>
    <w:rsid w:val="4D347B1F"/>
    <w:rsid w:val="4D3D1FBE"/>
    <w:rsid w:val="4D4F67BA"/>
    <w:rsid w:val="4D5301FB"/>
    <w:rsid w:val="4D603399"/>
    <w:rsid w:val="4D867EE1"/>
    <w:rsid w:val="4D9D3C73"/>
    <w:rsid w:val="4DBC4C65"/>
    <w:rsid w:val="4DF6568D"/>
    <w:rsid w:val="4E3E3388"/>
    <w:rsid w:val="4E550010"/>
    <w:rsid w:val="4E5F14CB"/>
    <w:rsid w:val="4EAF015A"/>
    <w:rsid w:val="4F3705F8"/>
    <w:rsid w:val="4F8B2097"/>
    <w:rsid w:val="4FAC3540"/>
    <w:rsid w:val="4FBB12F4"/>
    <w:rsid w:val="4FBE28EB"/>
    <w:rsid w:val="4FCF1583"/>
    <w:rsid w:val="4FFA7625"/>
    <w:rsid w:val="501B0BF9"/>
    <w:rsid w:val="502D20E1"/>
    <w:rsid w:val="507858EC"/>
    <w:rsid w:val="507D2599"/>
    <w:rsid w:val="5096229D"/>
    <w:rsid w:val="50DC4184"/>
    <w:rsid w:val="51475B39"/>
    <w:rsid w:val="514C3EA7"/>
    <w:rsid w:val="519849E5"/>
    <w:rsid w:val="51A6078D"/>
    <w:rsid w:val="51B36892"/>
    <w:rsid w:val="52506DA7"/>
    <w:rsid w:val="532038D9"/>
    <w:rsid w:val="533B2B84"/>
    <w:rsid w:val="535F6AD5"/>
    <w:rsid w:val="537A7243"/>
    <w:rsid w:val="539C1B81"/>
    <w:rsid w:val="53AE750F"/>
    <w:rsid w:val="53F263AD"/>
    <w:rsid w:val="54406242"/>
    <w:rsid w:val="549A6BFA"/>
    <w:rsid w:val="54BB2B47"/>
    <w:rsid w:val="54E72921"/>
    <w:rsid w:val="550165CB"/>
    <w:rsid w:val="552B398D"/>
    <w:rsid w:val="55806F07"/>
    <w:rsid w:val="55C53951"/>
    <w:rsid w:val="55F80036"/>
    <w:rsid w:val="55FA2961"/>
    <w:rsid w:val="565E7F4F"/>
    <w:rsid w:val="56775789"/>
    <w:rsid w:val="56857D06"/>
    <w:rsid w:val="56914056"/>
    <w:rsid w:val="56A4657E"/>
    <w:rsid w:val="56DB613D"/>
    <w:rsid w:val="575D7270"/>
    <w:rsid w:val="57FC2169"/>
    <w:rsid w:val="58096275"/>
    <w:rsid w:val="581C04F1"/>
    <w:rsid w:val="582E6EF7"/>
    <w:rsid w:val="58434392"/>
    <w:rsid w:val="584E30E6"/>
    <w:rsid w:val="59014D02"/>
    <w:rsid w:val="59731841"/>
    <w:rsid w:val="597B384D"/>
    <w:rsid w:val="59996DA8"/>
    <w:rsid w:val="59C30F1B"/>
    <w:rsid w:val="59D011FC"/>
    <w:rsid w:val="59FE4947"/>
    <w:rsid w:val="5A0D5854"/>
    <w:rsid w:val="5A180627"/>
    <w:rsid w:val="5A20156F"/>
    <w:rsid w:val="5A741B75"/>
    <w:rsid w:val="5A8F0814"/>
    <w:rsid w:val="5AC7121C"/>
    <w:rsid w:val="5AD90B8D"/>
    <w:rsid w:val="5AE12927"/>
    <w:rsid w:val="5B2243E9"/>
    <w:rsid w:val="5B4E1A44"/>
    <w:rsid w:val="5B666742"/>
    <w:rsid w:val="5B873201"/>
    <w:rsid w:val="5B89551D"/>
    <w:rsid w:val="5B8B1205"/>
    <w:rsid w:val="5B967767"/>
    <w:rsid w:val="5B9E55DE"/>
    <w:rsid w:val="5C1473E0"/>
    <w:rsid w:val="5C286807"/>
    <w:rsid w:val="5C446BC8"/>
    <w:rsid w:val="5C4C687B"/>
    <w:rsid w:val="5C7C2768"/>
    <w:rsid w:val="5CB23AE6"/>
    <w:rsid w:val="5CF55792"/>
    <w:rsid w:val="5CFD533A"/>
    <w:rsid w:val="5D3F6E77"/>
    <w:rsid w:val="5D893B14"/>
    <w:rsid w:val="5E2B7D62"/>
    <w:rsid w:val="5EA06921"/>
    <w:rsid w:val="5EC053F5"/>
    <w:rsid w:val="5ED5006A"/>
    <w:rsid w:val="5EF63537"/>
    <w:rsid w:val="5F576E4B"/>
    <w:rsid w:val="5F7A2C30"/>
    <w:rsid w:val="5FBE370A"/>
    <w:rsid w:val="5FE540E9"/>
    <w:rsid w:val="601A3898"/>
    <w:rsid w:val="60292845"/>
    <w:rsid w:val="60BB7E2A"/>
    <w:rsid w:val="60F670B5"/>
    <w:rsid w:val="611B4D6D"/>
    <w:rsid w:val="612E1A5D"/>
    <w:rsid w:val="61816046"/>
    <w:rsid w:val="62391564"/>
    <w:rsid w:val="62816669"/>
    <w:rsid w:val="62BA0953"/>
    <w:rsid w:val="62D03A7C"/>
    <w:rsid w:val="62F16BCB"/>
    <w:rsid w:val="62F648FE"/>
    <w:rsid w:val="62F6696D"/>
    <w:rsid w:val="63275C4B"/>
    <w:rsid w:val="63341DB1"/>
    <w:rsid w:val="63A10995"/>
    <w:rsid w:val="63C23EFA"/>
    <w:rsid w:val="643A070A"/>
    <w:rsid w:val="643C381F"/>
    <w:rsid w:val="644C573D"/>
    <w:rsid w:val="648667A7"/>
    <w:rsid w:val="649A52CA"/>
    <w:rsid w:val="64DB383A"/>
    <w:rsid w:val="65032F85"/>
    <w:rsid w:val="65136B50"/>
    <w:rsid w:val="652811A1"/>
    <w:rsid w:val="657E2A35"/>
    <w:rsid w:val="65A94E9D"/>
    <w:rsid w:val="65C60A92"/>
    <w:rsid w:val="66DD6702"/>
    <w:rsid w:val="67912A18"/>
    <w:rsid w:val="679406CB"/>
    <w:rsid w:val="67B553A8"/>
    <w:rsid w:val="67C35C0B"/>
    <w:rsid w:val="67DF08A2"/>
    <w:rsid w:val="67F81964"/>
    <w:rsid w:val="685A5CCF"/>
    <w:rsid w:val="68701E42"/>
    <w:rsid w:val="689D558A"/>
    <w:rsid w:val="68AD17BB"/>
    <w:rsid w:val="68D94D22"/>
    <w:rsid w:val="692B2E4A"/>
    <w:rsid w:val="694303FB"/>
    <w:rsid w:val="696A0B34"/>
    <w:rsid w:val="698859AE"/>
    <w:rsid w:val="698D6A17"/>
    <w:rsid w:val="69ED35EC"/>
    <w:rsid w:val="69EE3535"/>
    <w:rsid w:val="69F954C1"/>
    <w:rsid w:val="6A2031B6"/>
    <w:rsid w:val="6A440C53"/>
    <w:rsid w:val="6AA26B69"/>
    <w:rsid w:val="6AC61F6F"/>
    <w:rsid w:val="6AD83AD4"/>
    <w:rsid w:val="6ADE74F0"/>
    <w:rsid w:val="6B1002C0"/>
    <w:rsid w:val="6B58539A"/>
    <w:rsid w:val="6B723594"/>
    <w:rsid w:val="6B805156"/>
    <w:rsid w:val="6B990CEA"/>
    <w:rsid w:val="6BA55E41"/>
    <w:rsid w:val="6BD50977"/>
    <w:rsid w:val="6BEA2A9B"/>
    <w:rsid w:val="6C7B0479"/>
    <w:rsid w:val="6C96062A"/>
    <w:rsid w:val="6C9C0875"/>
    <w:rsid w:val="6CAA3931"/>
    <w:rsid w:val="6D0267EE"/>
    <w:rsid w:val="6D2A6A64"/>
    <w:rsid w:val="6D3933CA"/>
    <w:rsid w:val="6D7B61EC"/>
    <w:rsid w:val="6DAF113C"/>
    <w:rsid w:val="6DD049FF"/>
    <w:rsid w:val="6DF4770B"/>
    <w:rsid w:val="6E09491E"/>
    <w:rsid w:val="6E0D3655"/>
    <w:rsid w:val="6E4B6B60"/>
    <w:rsid w:val="6E5F4465"/>
    <w:rsid w:val="6E8C54DA"/>
    <w:rsid w:val="6EF11E03"/>
    <w:rsid w:val="6F111C62"/>
    <w:rsid w:val="6F2176E5"/>
    <w:rsid w:val="6F3053CA"/>
    <w:rsid w:val="6F592303"/>
    <w:rsid w:val="6F5F5B74"/>
    <w:rsid w:val="6F740722"/>
    <w:rsid w:val="6F9B1C65"/>
    <w:rsid w:val="6FBC3A3D"/>
    <w:rsid w:val="6FD47A25"/>
    <w:rsid w:val="6FFB146E"/>
    <w:rsid w:val="701A5C74"/>
    <w:rsid w:val="706516C3"/>
    <w:rsid w:val="70896E68"/>
    <w:rsid w:val="70B23B20"/>
    <w:rsid w:val="71033E13"/>
    <w:rsid w:val="71266B64"/>
    <w:rsid w:val="715B60E9"/>
    <w:rsid w:val="71A2162C"/>
    <w:rsid w:val="71EA1FED"/>
    <w:rsid w:val="72A423E3"/>
    <w:rsid w:val="72C16204"/>
    <w:rsid w:val="730313F6"/>
    <w:rsid w:val="7307011B"/>
    <w:rsid w:val="731E1007"/>
    <w:rsid w:val="73370D24"/>
    <w:rsid w:val="7359268C"/>
    <w:rsid w:val="738E7F36"/>
    <w:rsid w:val="739503EB"/>
    <w:rsid w:val="73A05B28"/>
    <w:rsid w:val="73C07D69"/>
    <w:rsid w:val="73DD78DC"/>
    <w:rsid w:val="74B42AE4"/>
    <w:rsid w:val="74B66E2F"/>
    <w:rsid w:val="74F355FB"/>
    <w:rsid w:val="750A429D"/>
    <w:rsid w:val="755D38A7"/>
    <w:rsid w:val="75614792"/>
    <w:rsid w:val="75683F3A"/>
    <w:rsid w:val="75784473"/>
    <w:rsid w:val="757E044C"/>
    <w:rsid w:val="75977BC3"/>
    <w:rsid w:val="75B161B3"/>
    <w:rsid w:val="75E470E3"/>
    <w:rsid w:val="76736B32"/>
    <w:rsid w:val="768C5345"/>
    <w:rsid w:val="76E3765E"/>
    <w:rsid w:val="76FC2AFA"/>
    <w:rsid w:val="774039BC"/>
    <w:rsid w:val="775D3076"/>
    <w:rsid w:val="77653671"/>
    <w:rsid w:val="7772185A"/>
    <w:rsid w:val="778546CC"/>
    <w:rsid w:val="7789225F"/>
    <w:rsid w:val="77991C2E"/>
    <w:rsid w:val="77B56730"/>
    <w:rsid w:val="77BC7D1A"/>
    <w:rsid w:val="77C04A8B"/>
    <w:rsid w:val="77D15A3C"/>
    <w:rsid w:val="77D85DB3"/>
    <w:rsid w:val="780252A0"/>
    <w:rsid w:val="78027772"/>
    <w:rsid w:val="78A50513"/>
    <w:rsid w:val="792473D4"/>
    <w:rsid w:val="796518DD"/>
    <w:rsid w:val="79AA0532"/>
    <w:rsid w:val="79FE1DDD"/>
    <w:rsid w:val="7A075767"/>
    <w:rsid w:val="7A0F7C72"/>
    <w:rsid w:val="7A212062"/>
    <w:rsid w:val="7A282A11"/>
    <w:rsid w:val="7A63162C"/>
    <w:rsid w:val="7AA229AE"/>
    <w:rsid w:val="7AC21562"/>
    <w:rsid w:val="7AD474A4"/>
    <w:rsid w:val="7B5350AD"/>
    <w:rsid w:val="7B697C89"/>
    <w:rsid w:val="7B8D34C3"/>
    <w:rsid w:val="7B971D84"/>
    <w:rsid w:val="7B9E1659"/>
    <w:rsid w:val="7BF32F03"/>
    <w:rsid w:val="7C1724A5"/>
    <w:rsid w:val="7C8E3CCF"/>
    <w:rsid w:val="7CA54112"/>
    <w:rsid w:val="7CB4634A"/>
    <w:rsid w:val="7CCC4107"/>
    <w:rsid w:val="7CE50CE4"/>
    <w:rsid w:val="7D2E5ABF"/>
    <w:rsid w:val="7D350FA9"/>
    <w:rsid w:val="7E2142A2"/>
    <w:rsid w:val="7E5A6DFA"/>
    <w:rsid w:val="7E7B0BF2"/>
    <w:rsid w:val="7E8D75B6"/>
    <w:rsid w:val="7EB2417D"/>
    <w:rsid w:val="7EF760EE"/>
    <w:rsid w:val="7F0228E6"/>
    <w:rsid w:val="7F2A21E7"/>
    <w:rsid w:val="7F4569B4"/>
    <w:rsid w:val="7F57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8"/>
    <w:qFormat/>
    <w:uiPriority w:val="0"/>
    <w:pPr>
      <w:widowControl w:val="0"/>
      <w:adjustRightInd/>
      <w:snapToGrid/>
      <w:spacing w:after="0"/>
      <w:jc w:val="both"/>
    </w:pPr>
    <w:rPr>
      <w:rFonts w:ascii="宋体" w:hAnsi="Courier New" w:eastAsia="宋体" w:cs="Times New Roman"/>
      <w:b/>
      <w:kern w:val="2"/>
      <w:sz w:val="21"/>
      <w:szCs w:val="20"/>
    </w:rPr>
  </w:style>
  <w:style w:type="paragraph" w:styleId="6">
    <w:name w:val="annotation text"/>
    <w:basedOn w:val="1"/>
    <w:semiHidden/>
    <w:unhideWhenUsed/>
    <w:qFormat/>
    <w:uiPriority w:val="99"/>
    <w:pPr>
      <w:jc w:val="left"/>
    </w:pPr>
  </w:style>
  <w:style w:type="paragraph" w:styleId="7">
    <w:name w:val="Body Text"/>
    <w:basedOn w:val="1"/>
    <w:qFormat/>
    <w:uiPriority w:val="1"/>
    <w:pPr>
      <w:spacing w:before="161"/>
      <w:ind w:left="120"/>
    </w:pPr>
    <w:rPr>
      <w:rFonts w:ascii="宋体" w:hAnsi="宋体" w:eastAsia="宋体" w:cs="宋体"/>
      <w:sz w:val="24"/>
      <w:lang w:val="zh-CN" w:bidi="zh-CN"/>
    </w:rPr>
  </w:style>
  <w:style w:type="paragraph" w:styleId="8">
    <w:name w:val="toc 3"/>
    <w:basedOn w:val="1"/>
    <w:next w:val="1"/>
    <w:unhideWhenUsed/>
    <w:qFormat/>
    <w:uiPriority w:val="39"/>
    <w:pPr>
      <w:tabs>
        <w:tab w:val="right" w:leader="dot" w:pos="8296"/>
      </w:tabs>
      <w:ind w:left="838" w:leftChars="381"/>
    </w:pPr>
    <w:rPr>
      <w:sz w:val="21"/>
      <w:szCs w:val="21"/>
    </w:rPr>
  </w:style>
  <w:style w:type="paragraph" w:styleId="9">
    <w:name w:val="Balloon Text"/>
    <w:basedOn w:val="1"/>
    <w:link w:val="41"/>
    <w:semiHidden/>
    <w:unhideWhenUsed/>
    <w:qFormat/>
    <w:uiPriority w:val="99"/>
    <w:pPr>
      <w:spacing w:after="0"/>
    </w:pPr>
    <w:rPr>
      <w:sz w:val="18"/>
      <w:szCs w:val="18"/>
    </w:rPr>
  </w:style>
  <w:style w:type="paragraph" w:styleId="10">
    <w:name w:val="footer"/>
    <w:basedOn w:val="1"/>
    <w:link w:val="40"/>
    <w:unhideWhenUsed/>
    <w:qFormat/>
    <w:uiPriority w:val="99"/>
    <w:pPr>
      <w:tabs>
        <w:tab w:val="center" w:pos="4153"/>
        <w:tab w:val="right" w:pos="8306"/>
      </w:tabs>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semiHidden/>
    <w:unhideWhenUsed/>
    <w:qFormat/>
    <w:uiPriority w:val="39"/>
  </w:style>
  <w:style w:type="paragraph" w:styleId="13">
    <w:name w:val="toc 4"/>
    <w:basedOn w:val="1"/>
    <w:next w:val="1"/>
    <w:unhideWhenUsed/>
    <w:qFormat/>
    <w:uiPriority w:val="39"/>
    <w:pPr>
      <w:tabs>
        <w:tab w:val="right" w:leader="dot" w:pos="8296"/>
      </w:tabs>
      <w:spacing w:after="120"/>
      <w:ind w:left="1320" w:leftChars="600"/>
    </w:pPr>
  </w:style>
  <w:style w:type="paragraph" w:styleId="14">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5">
    <w:name w:val="footnote text"/>
    <w:basedOn w:val="1"/>
    <w:semiHidden/>
    <w:unhideWhenUsed/>
    <w:qFormat/>
    <w:uiPriority w:val="99"/>
    <w:pPr>
      <w:snapToGrid w:val="0"/>
      <w:jc w:val="left"/>
    </w:pPr>
    <w:rPr>
      <w:sz w:val="18"/>
    </w:rPr>
  </w:style>
  <w:style w:type="paragraph" w:styleId="16">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17">
    <w:name w:val="Normal (Web)"/>
    <w:basedOn w:val="1"/>
    <w:link w:val="43"/>
    <w:qFormat/>
    <w:uiPriority w:val="0"/>
    <w:pPr>
      <w:widowControl w:val="0"/>
      <w:adjustRightInd/>
      <w:snapToGrid/>
      <w:spacing w:after="0"/>
      <w:jc w:val="both"/>
    </w:pPr>
    <w:rPr>
      <w:rFonts w:eastAsia="宋体" w:asciiTheme="minorHAnsi" w:hAnsiTheme="minorHAnsi"/>
      <w:kern w:val="2"/>
      <w:sz w:val="24"/>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20"/>
    <w:rPr>
      <w:i/>
      <w:iCs/>
    </w:rPr>
  </w:style>
  <w:style w:type="character" w:styleId="22">
    <w:name w:val="Hyperlink"/>
    <w:qFormat/>
    <w:uiPriority w:val="99"/>
    <w:rPr>
      <w:rFonts w:hint="eastAsia" w:ascii="宋体" w:hAnsi="宋体" w:eastAsia="宋体" w:cs="宋体"/>
      <w:b/>
      <w:color w:val="0031C1"/>
      <w:kern w:val="0"/>
      <w:sz w:val="18"/>
      <w:szCs w:val="18"/>
      <w:u w:val="none"/>
      <w:lang w:eastAsia="en-US"/>
    </w:rPr>
  </w:style>
  <w:style w:type="character" w:styleId="23">
    <w:name w:val="footnote reference"/>
    <w:basedOn w:val="20"/>
    <w:semiHidden/>
    <w:unhideWhenUsed/>
    <w:qFormat/>
    <w:uiPriority w:val="99"/>
    <w:rPr>
      <w:vertAlign w:val="superscript"/>
    </w:rPr>
  </w:style>
  <w:style w:type="character" w:customStyle="1" w:styleId="24">
    <w:name w:val="标题 2 字符"/>
    <w:basedOn w:val="20"/>
    <w:link w:val="3"/>
    <w:qFormat/>
    <w:uiPriority w:val="9"/>
    <w:rPr>
      <w:rFonts w:asciiTheme="majorHAnsi" w:hAnsiTheme="majorHAnsi" w:eastAsiaTheme="majorEastAsia" w:cstheme="majorBidi"/>
      <w:b/>
      <w:bCs/>
      <w:sz w:val="32"/>
      <w:szCs w:val="32"/>
    </w:rPr>
  </w:style>
  <w:style w:type="character" w:customStyle="1" w:styleId="25">
    <w:name w:val="标题 3 字符"/>
    <w:basedOn w:val="20"/>
    <w:link w:val="4"/>
    <w:qFormat/>
    <w:uiPriority w:val="9"/>
    <w:rPr>
      <w:rFonts w:ascii="Tahoma" w:hAnsi="Tahoma"/>
      <w:b/>
      <w:bCs/>
      <w:sz w:val="32"/>
      <w:szCs w:val="32"/>
    </w:rPr>
  </w:style>
  <w:style w:type="paragraph" w:styleId="26">
    <w:name w:val="List Paragraph"/>
    <w:basedOn w:val="1"/>
    <w:qFormat/>
    <w:uiPriority w:val="34"/>
    <w:pPr>
      <w:ind w:firstLine="420" w:firstLineChars="200"/>
    </w:pPr>
  </w:style>
  <w:style w:type="character" w:customStyle="1" w:styleId="27">
    <w:name w:val="标题 4 字符"/>
    <w:basedOn w:val="20"/>
    <w:link w:val="5"/>
    <w:qFormat/>
    <w:uiPriority w:val="9"/>
    <w:rPr>
      <w:rFonts w:asciiTheme="majorHAnsi" w:hAnsiTheme="majorHAnsi" w:eastAsiaTheme="majorEastAsia" w:cstheme="majorBidi"/>
      <w:b/>
      <w:bCs/>
      <w:sz w:val="28"/>
      <w:szCs w:val="28"/>
    </w:rPr>
  </w:style>
  <w:style w:type="character" w:customStyle="1" w:styleId="28">
    <w:name w:val="正文缩进2格 Char"/>
    <w:link w:val="29"/>
    <w:qFormat/>
    <w:uiPriority w:val="0"/>
    <w:rPr>
      <w:rFonts w:ascii="仿宋_GB2312" w:hAnsi="宋体" w:eastAsia="仿宋_GB2312"/>
      <w:kern w:val="2"/>
      <w:sz w:val="31"/>
    </w:rPr>
  </w:style>
  <w:style w:type="paragraph" w:customStyle="1" w:styleId="29">
    <w:name w:val="正文缩进2格"/>
    <w:basedOn w:val="1"/>
    <w:link w:val="28"/>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30">
    <w:name w:val="正文缩进4格"/>
    <w:basedOn w:val="29"/>
    <w:qFormat/>
    <w:uiPriority w:val="0"/>
    <w:pPr>
      <w:ind w:left="2" w:firstLine="538" w:firstLineChars="192"/>
    </w:pPr>
    <w:rPr>
      <w:color w:val="0000FF"/>
      <w:sz w:val="28"/>
    </w:rPr>
  </w:style>
  <w:style w:type="character" w:customStyle="1" w:styleId="31">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32">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3">
    <w:name w:val="标题1"/>
    <w:qFormat/>
    <w:uiPriority w:val="0"/>
    <w:rPr>
      <w:rFonts w:ascii="Times New Roman" w:hAnsi="Times New Roman" w:eastAsia="宋体" w:cs="Times New Roman"/>
      <w:b/>
      <w:kern w:val="0"/>
      <w:sz w:val="24"/>
      <w:szCs w:val="20"/>
      <w:lang w:eastAsia="en-US"/>
    </w:rPr>
  </w:style>
  <w:style w:type="character" w:customStyle="1" w:styleId="34">
    <w:name w:val="标题 3.1 Char"/>
    <w:link w:val="35"/>
    <w:qFormat/>
    <w:uiPriority w:val="0"/>
    <w:rPr>
      <w:rFonts w:ascii="宋体" w:hAnsi="宋体" w:eastAsia="宋体"/>
      <w:b/>
      <w:color w:val="FF0000"/>
      <w:kern w:val="2"/>
      <w:sz w:val="32"/>
    </w:rPr>
  </w:style>
  <w:style w:type="paragraph" w:customStyle="1" w:styleId="35">
    <w:name w:val="标题 3.1"/>
    <w:basedOn w:val="4"/>
    <w:link w:val="34"/>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character" w:customStyle="1" w:styleId="36">
    <w:name w:val="样式 楷体_GB2312 小四"/>
    <w:qFormat/>
    <w:uiPriority w:val="0"/>
    <w:rPr>
      <w:rFonts w:ascii="楷体_GB2312" w:hAnsi="楷体_GB2312" w:eastAsia="仿宋_GB2312"/>
      <w:sz w:val="24"/>
    </w:rPr>
  </w:style>
  <w:style w:type="character" w:customStyle="1" w:styleId="37">
    <w:name w:val="纯文本 Char"/>
    <w:qFormat/>
    <w:uiPriority w:val="0"/>
    <w:rPr>
      <w:rFonts w:ascii="宋体" w:hAnsi="Courier New" w:eastAsia="宋体" w:cs="Times New Roman"/>
      <w:b/>
      <w:kern w:val="2"/>
      <w:sz w:val="21"/>
      <w:szCs w:val="20"/>
    </w:rPr>
  </w:style>
  <w:style w:type="character" w:customStyle="1" w:styleId="38">
    <w:name w:val="纯文本 字符"/>
    <w:basedOn w:val="20"/>
    <w:link w:val="2"/>
    <w:semiHidden/>
    <w:qFormat/>
    <w:uiPriority w:val="99"/>
    <w:rPr>
      <w:rFonts w:ascii="宋体" w:hAnsi="Courier New" w:eastAsia="宋体" w:cs="Courier New"/>
      <w:sz w:val="21"/>
      <w:szCs w:val="21"/>
    </w:rPr>
  </w:style>
  <w:style w:type="character" w:customStyle="1" w:styleId="39">
    <w:name w:val="页眉 字符"/>
    <w:basedOn w:val="20"/>
    <w:link w:val="11"/>
    <w:qFormat/>
    <w:uiPriority w:val="99"/>
    <w:rPr>
      <w:rFonts w:ascii="Tahoma" w:hAnsi="Tahoma"/>
      <w:sz w:val="18"/>
      <w:szCs w:val="18"/>
    </w:rPr>
  </w:style>
  <w:style w:type="character" w:customStyle="1" w:styleId="40">
    <w:name w:val="页脚 字符"/>
    <w:basedOn w:val="20"/>
    <w:link w:val="10"/>
    <w:qFormat/>
    <w:uiPriority w:val="99"/>
    <w:rPr>
      <w:rFonts w:ascii="Tahoma" w:hAnsi="Tahoma"/>
      <w:sz w:val="18"/>
      <w:szCs w:val="18"/>
    </w:rPr>
  </w:style>
  <w:style w:type="character" w:customStyle="1" w:styleId="41">
    <w:name w:val="批注框文本 字符"/>
    <w:basedOn w:val="20"/>
    <w:link w:val="9"/>
    <w:semiHidden/>
    <w:qFormat/>
    <w:uiPriority w:val="99"/>
    <w:rPr>
      <w:rFonts w:ascii="Tahoma" w:hAnsi="Tahoma"/>
      <w:sz w:val="18"/>
      <w:szCs w:val="18"/>
    </w:rPr>
  </w:style>
  <w:style w:type="paragraph" w:customStyle="1" w:styleId="42">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character" w:customStyle="1" w:styleId="43">
    <w:name w:val="普通(网站) 字符"/>
    <w:link w:val="17"/>
    <w:qFormat/>
    <w:uiPriority w:val="0"/>
    <w:rPr>
      <w:rFonts w:eastAsia="宋体"/>
      <w:kern w:val="2"/>
      <w:sz w:val="24"/>
      <w:szCs w:val="24"/>
    </w:rPr>
  </w:style>
  <w:style w:type="paragraph" w:customStyle="1" w:styleId="44">
    <w:name w:val="列出段落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45">
    <w:name w:val="p141"/>
    <w:qFormat/>
    <w:uiPriority w:val="0"/>
    <w:rPr>
      <w:sz w:val="21"/>
      <w:szCs w:val="21"/>
    </w:rPr>
  </w:style>
  <w:style w:type="paragraph" w:customStyle="1" w:styleId="46">
    <w:name w:val="标题 Char Char"/>
    <w:basedOn w:val="47"/>
    <w:next w:val="14"/>
    <w:qFormat/>
    <w:uiPriority w:val="0"/>
    <w:pPr>
      <w:jc w:val="center"/>
      <w:outlineLvl w:val="0"/>
    </w:pPr>
    <w:rPr>
      <w:rFonts w:ascii="Arial" w:hAnsi="Arial"/>
      <w:b/>
      <w:sz w:val="32"/>
    </w:rPr>
  </w:style>
  <w:style w:type="paragraph" w:customStyle="1" w:styleId="47">
    <w:name w:val="正文 New New New New New New New"/>
    <w:next w:val="46"/>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8">
    <w:name w:val="正文正"/>
    <w:basedOn w:val="1"/>
    <w:qFormat/>
    <w:uiPriority w:val="0"/>
    <w:pPr>
      <w:spacing w:line="560" w:lineRule="exact"/>
      <w:ind w:firstLine="561"/>
    </w:pPr>
    <w:rPr>
      <w:rFonts w:ascii="Calibri" w:hAnsi="Calibri" w:eastAsia="宋体"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HLR</Manager>
  <Company>广东三方诚信招标有限公司东莞分公司</Company>
  <Pages>62</Pages>
  <Words>5252</Words>
  <Characters>5846</Characters>
  <Lines>253</Lines>
  <Paragraphs>71</Paragraphs>
  <TotalTime>1</TotalTime>
  <ScaleCrop>false</ScaleCrop>
  <LinksUpToDate>false</LinksUpToDate>
  <CharactersWithSpaces>6045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文件</cp:category>
  <dcterms:created xsi:type="dcterms:W3CDTF">2019-07-08T13:55:00Z</dcterms:created>
  <dc:creator>广东三方诚信招标有限公司东莞分公司</dc:creator>
  <cp:keywords>文件格式版本</cp:keywords>
  <cp:lastModifiedBy>DD</cp:lastModifiedBy>
  <cp:lastPrinted>2025-07-11T03:08:00Z</cp:lastPrinted>
  <dcterms:modified xsi:type="dcterms:W3CDTF">2025-12-28T07:26:06Z</dcterms:modified>
  <dc:subject>公开招标文件版本</dc:subject>
  <dc:title>公开招标文件版本</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8998CF32AB0C48528D4D5B164F41187D_13</vt:lpwstr>
  </property>
  <property fmtid="{D5CDD505-2E9C-101B-9397-08002B2CF9AE}" pid="4" name="KSOTemplateDocerSaveRecord">
    <vt:lpwstr>eyJoZGlkIjoiYWI2MDc4MjlkMzBmNGRlYjdhOWY3YTcxMjBjZjZhMWEiLCJ1c2VySWQiOiI5NzkxNzY4MzUifQ==</vt:lpwstr>
  </property>
</Properties>
</file>