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</w:rPr>
        <w:t>打印机耗材采购项目（以下简称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参加政府采购活动前三年内，在经营活动中没有重大违法记录；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四、本单位已成功报名本项目，且不接受联合体竞价，不将本项目转包、分包给第三方。</w:t>
      </w:r>
    </w:p>
    <w:p w14:paraId="1D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五、本单位具有打印机耗材销售相关经营范围。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</w:t>
      </w:r>
      <w:bookmarkStart w:id="0" w:name="_GoBack"/>
      <w:bookmarkEnd w:id="0"/>
      <w:r>
        <w:rPr>
          <w:rFonts w:hint="eastAsia"/>
        </w:rPr>
        <w:t>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78A1EA4"/>
    <w:rsid w:val="37343E3E"/>
    <w:rsid w:val="4C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749</Characters>
  <Lines>0</Lines>
  <Paragraphs>0</Paragraphs>
  <TotalTime>3</TotalTime>
  <ScaleCrop>false</ScaleCrop>
  <LinksUpToDate>false</LinksUpToDate>
  <CharactersWithSpaces>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王恺聪</cp:lastModifiedBy>
  <dcterms:modified xsi:type="dcterms:W3CDTF">2025-12-26T09:28:10Z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eyJoZGlkIjoiMzIxZTRjODk3ZDM5YzM2ZTIxMmQ2Zjc5ZWE0ZGQ2ZTYiLCJ1c2VySWQiOiIxNDc5NjA3NTMyIn0=</vt:lpwstr>
  </property>
</Properties>
</file>