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72CC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</w:p>
    <w:p w14:paraId="0A9E4C69">
      <w:pPr>
        <w:autoSpaceDE w:val="0"/>
        <w:autoSpaceDN w:val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8"/>
        <w:tblW w:w="937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463"/>
      </w:tblGrid>
      <w:tr w14:paraId="27F5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75" w:type="dxa"/>
            <w:gridSpan w:val="2"/>
            <w:noWrap w:val="0"/>
            <w:vAlign w:val="top"/>
          </w:tcPr>
          <w:p w14:paraId="7459DF2F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</w:p>
        </w:tc>
      </w:tr>
      <w:tr w14:paraId="0FD7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top"/>
          </w:tcPr>
          <w:p w14:paraId="6E058CB9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            项目名称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top"/>
          </w:tcPr>
          <w:p w14:paraId="0D502460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highlight w:val="none"/>
              </w:rPr>
              <w:t>整体下浮率</w:t>
            </w:r>
          </w:p>
        </w:tc>
      </w:tr>
      <w:tr w14:paraId="62EB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center"/>
          </w:tcPr>
          <w:p w14:paraId="4456B9F1">
            <w:pPr>
              <w:autoSpaceDE w:val="0"/>
              <w:autoSpaceDN w:val="0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东莞市社会福利中心常用文具用品</w:t>
            </w:r>
          </w:p>
          <w:p w14:paraId="0DAB400C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供货资格商采购项目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center"/>
          </w:tcPr>
          <w:p w14:paraId="19835E1E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%</w:t>
            </w:r>
          </w:p>
        </w:tc>
      </w:tr>
    </w:tbl>
    <w:p w14:paraId="676F8845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</w:pPr>
    </w:p>
    <w:p w14:paraId="003F100A">
      <w:pPr>
        <w:autoSpaceDE w:val="0"/>
        <w:autoSpaceDN w:val="0"/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  <w:t>注：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1.响应供应商须按要求填写所有信息，不得随意更改本表格式。</w:t>
      </w:r>
    </w:p>
    <w:p w14:paraId="5635E799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报价单价=基准单价×（1-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整体下浮率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）</w:t>
      </w:r>
    </w:p>
    <w:p w14:paraId="33BCFDDC">
      <w:pPr>
        <w:pStyle w:val="2"/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整体下浮率精确</w:t>
      </w:r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至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百分比数值的小数点后两位，</w:t>
      </w:r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例如11.11%，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范围：0%≤整体下浮率≤100%。</w:t>
      </w:r>
    </w:p>
    <w:p w14:paraId="3B627700">
      <w:pPr>
        <w:pStyle w:val="2"/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报价应包含货品价格、运输费、装卸费、税费和售后服务等一切相关费用，采购人不再额外支付其他费用。</w:t>
      </w:r>
    </w:p>
    <w:p w14:paraId="1853ED34"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 xml:space="preserve">    </w:t>
      </w:r>
    </w:p>
    <w:p w14:paraId="536E1463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</w:p>
    <w:p w14:paraId="0048339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竞价人名称：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        （盖章）</w:t>
      </w:r>
    </w:p>
    <w:p w14:paraId="0F54AC04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665271B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468C89CA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61351E85">
      <w:pPr>
        <w:spacing w:line="300" w:lineRule="auto"/>
        <w:jc w:val="right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5754C01"/>
    <w:rsid w:val="07483E82"/>
    <w:rsid w:val="084212C2"/>
    <w:rsid w:val="09465D51"/>
    <w:rsid w:val="0A195E05"/>
    <w:rsid w:val="0C8444F4"/>
    <w:rsid w:val="10066DDB"/>
    <w:rsid w:val="13962931"/>
    <w:rsid w:val="146E5D7A"/>
    <w:rsid w:val="148B1E54"/>
    <w:rsid w:val="14D90E8C"/>
    <w:rsid w:val="15CE2541"/>
    <w:rsid w:val="162E3271"/>
    <w:rsid w:val="16870D8E"/>
    <w:rsid w:val="17402212"/>
    <w:rsid w:val="18F5277F"/>
    <w:rsid w:val="194B54E8"/>
    <w:rsid w:val="1C87265B"/>
    <w:rsid w:val="1DA75767"/>
    <w:rsid w:val="1DB64B92"/>
    <w:rsid w:val="20F14799"/>
    <w:rsid w:val="210202B6"/>
    <w:rsid w:val="22282297"/>
    <w:rsid w:val="254B663C"/>
    <w:rsid w:val="25AB4834"/>
    <w:rsid w:val="28EE072F"/>
    <w:rsid w:val="29453A3D"/>
    <w:rsid w:val="29DC2957"/>
    <w:rsid w:val="2C7F47C1"/>
    <w:rsid w:val="2C8C659A"/>
    <w:rsid w:val="34343AD0"/>
    <w:rsid w:val="34AB6CDC"/>
    <w:rsid w:val="34E31351"/>
    <w:rsid w:val="39895872"/>
    <w:rsid w:val="3A175A0D"/>
    <w:rsid w:val="3A813B1A"/>
    <w:rsid w:val="3A900EBC"/>
    <w:rsid w:val="3BDD7E87"/>
    <w:rsid w:val="3D3E1186"/>
    <w:rsid w:val="3D817395"/>
    <w:rsid w:val="3F6C179B"/>
    <w:rsid w:val="400B6ADA"/>
    <w:rsid w:val="452916BA"/>
    <w:rsid w:val="46F9312B"/>
    <w:rsid w:val="49126C63"/>
    <w:rsid w:val="499A4237"/>
    <w:rsid w:val="4AAC5B10"/>
    <w:rsid w:val="4AC81BBD"/>
    <w:rsid w:val="4CF06163"/>
    <w:rsid w:val="4D007DB0"/>
    <w:rsid w:val="4DC7247A"/>
    <w:rsid w:val="4F56659F"/>
    <w:rsid w:val="4F8D3636"/>
    <w:rsid w:val="52B143BC"/>
    <w:rsid w:val="535F1857"/>
    <w:rsid w:val="53F14D1D"/>
    <w:rsid w:val="54166CDA"/>
    <w:rsid w:val="5555546D"/>
    <w:rsid w:val="55A52E00"/>
    <w:rsid w:val="55F20C59"/>
    <w:rsid w:val="582817AF"/>
    <w:rsid w:val="59DE362C"/>
    <w:rsid w:val="5ABE26ED"/>
    <w:rsid w:val="5BAD0521"/>
    <w:rsid w:val="5C564D0A"/>
    <w:rsid w:val="5E1F7450"/>
    <w:rsid w:val="5FDF447A"/>
    <w:rsid w:val="61516C95"/>
    <w:rsid w:val="64A8154C"/>
    <w:rsid w:val="64CB3C07"/>
    <w:rsid w:val="64E84D1C"/>
    <w:rsid w:val="65813C15"/>
    <w:rsid w:val="67FC1F29"/>
    <w:rsid w:val="6A44114E"/>
    <w:rsid w:val="6B4C27BF"/>
    <w:rsid w:val="6EE4291E"/>
    <w:rsid w:val="709D5607"/>
    <w:rsid w:val="70D9488F"/>
    <w:rsid w:val="71110792"/>
    <w:rsid w:val="711E385E"/>
    <w:rsid w:val="75B45506"/>
    <w:rsid w:val="761955AC"/>
    <w:rsid w:val="78204949"/>
    <w:rsid w:val="799F3431"/>
    <w:rsid w:val="7A6F776C"/>
    <w:rsid w:val="7AE85EF1"/>
    <w:rsid w:val="7B741218"/>
    <w:rsid w:val="7B8A593A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paragraph" w:customStyle="1" w:styleId="12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216</Characters>
  <Lines>0</Lines>
  <Paragraphs>0</Paragraphs>
  <TotalTime>0</TotalTime>
  <ScaleCrop>false</ScaleCrop>
  <LinksUpToDate>false</LinksUpToDate>
  <CharactersWithSpaces>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谢家弎小姐</cp:lastModifiedBy>
  <cp:lastPrinted>2025-12-25T09:29:00Z</cp:lastPrinted>
  <dcterms:modified xsi:type="dcterms:W3CDTF">2026-02-06T03:52:27Z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AE518211350F40FABCB01E330F0D4B91_13</vt:lpwstr>
  </property>
  <property fmtid="{D5CDD505-2E9C-101B-9397-08002B2CF9AE}" pid="4" name="KSOTemplateDocerSaveRecord">
    <vt:lpwstr>eyJoZGlkIjoiMjJhYzM4MWRmMDE4OTY5ZDgwYzI2ZTIxZTcyOTA3NGEiLCJ1c2VySWQiOiI0MzU3NTQxMzQifQ==</vt:lpwstr>
  </property>
</Properties>
</file>